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142741"/>
    <w:p w14:paraId="1AA288D3" w14:textId="28FECBA9" w:rsidR="00B673DE" w:rsidRPr="007548FE" w:rsidRDefault="00B673DE" w:rsidP="35CE963E">
      <w:pPr>
        <w:spacing w:before="100" w:beforeAutospacing="1" w:after="120"/>
        <w:rPr>
          <w:sz w:val="36"/>
          <w:szCs w:val="36"/>
          <w:u w:val="single"/>
        </w:rPr>
      </w:pPr>
      <w:r w:rsidRPr="007548FE">
        <w:rPr>
          <w:noProof/>
          <w:u w:val="single"/>
        </w:rPr>
        <mc:AlternateContent>
          <mc:Choice Requires="wps">
            <w:drawing>
              <wp:anchor distT="0" distB="0" distL="0" distR="0" simplePos="0" relativeHeight="251658240" behindDoc="1" locked="0" layoutInCell="1" allowOverlap="1" wp14:anchorId="1984F472" wp14:editId="54456C6D">
                <wp:simplePos x="0" y="0"/>
                <wp:positionH relativeFrom="page">
                  <wp:posOffset>489232</wp:posOffset>
                </wp:positionH>
                <wp:positionV relativeFrom="paragraph">
                  <wp:posOffset>321</wp:posOffset>
                </wp:positionV>
                <wp:extent cx="6386195" cy="45085"/>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6195" cy="45085"/>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CA11" id="Freeform 2" o:spid="_x0000_s1026" style="position:absolute;margin-left:38.5pt;margin-top:.05pt;width:502.85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" path="m,l9419,e" filled="f" strokecolor="#c0504d" strokeweight=".48pt">
                <v:path arrowok="t" o:connecttype="custom" o:connectlocs="0,0;6385517,0" o:connectangles="0,0"/>
                <w10:wrap type="topAndBottom" anchorx="page"/>
              </v:shape>
            </w:pict>
          </mc:Fallback>
        </mc:AlternateContent>
      </w:r>
      <w:r w:rsidRPr="631C45F3">
        <w:rPr>
          <w:color w:val="DD8046"/>
          <w:sz w:val="36"/>
          <w:szCs w:val="36"/>
          <w:u w:val="single"/>
        </w:rPr>
        <w:t>EXAMPLE</w:t>
      </w:r>
      <w:r w:rsidR="005138BB" w:rsidRPr="631C45F3">
        <w:rPr>
          <w:color w:val="DD8046"/>
          <w:sz w:val="36"/>
          <w:szCs w:val="36"/>
          <w:u w:val="single"/>
        </w:rPr>
        <w:t xml:space="preserve"> TREATMENT PLAN for</w:t>
      </w:r>
      <w:r w:rsidRPr="631C45F3">
        <w:rPr>
          <w:color w:val="DD8046"/>
          <w:sz w:val="36"/>
          <w:szCs w:val="36"/>
          <w:u w:val="single"/>
        </w:rPr>
        <w:t xml:space="preserve"> TAGRISSO® (</w:t>
      </w:r>
      <w:proofErr w:type="spellStart"/>
      <w:r w:rsidR="00D61C93" w:rsidRPr="631C45F3">
        <w:rPr>
          <w:color w:val="DD8046"/>
          <w:sz w:val="36"/>
          <w:szCs w:val="36"/>
          <w:u w:val="single"/>
        </w:rPr>
        <w:t>osimertinib</w:t>
      </w:r>
      <w:proofErr w:type="spellEnd"/>
      <w:r w:rsidR="00D61C93" w:rsidRPr="631C45F3">
        <w:rPr>
          <w:color w:val="DD8046"/>
          <w:sz w:val="36"/>
          <w:szCs w:val="36"/>
          <w:u w:val="single"/>
        </w:rPr>
        <w:t>) in</w:t>
      </w:r>
      <w:r w:rsidR="00600723" w:rsidRPr="631C45F3">
        <w:rPr>
          <w:color w:val="DD8046"/>
          <w:sz w:val="36"/>
          <w:szCs w:val="36"/>
          <w:u w:val="single"/>
        </w:rPr>
        <w:t xml:space="preserve"> combination with pemetrexed and platinum</w:t>
      </w:r>
      <w:r w:rsidR="00C435CA" w:rsidRPr="631C45F3">
        <w:rPr>
          <w:color w:val="DD8046"/>
          <w:sz w:val="36"/>
          <w:szCs w:val="36"/>
          <w:u w:val="single"/>
        </w:rPr>
        <w:t>-based</w:t>
      </w:r>
      <w:r w:rsidR="00600723" w:rsidRPr="631C45F3">
        <w:rPr>
          <w:color w:val="DD8046"/>
          <w:sz w:val="36"/>
          <w:szCs w:val="36"/>
          <w:u w:val="single"/>
        </w:rPr>
        <w:t xml:space="preserve"> chemotherapy </w:t>
      </w:r>
    </w:p>
    <w:p w14:paraId="6867BD93" w14:textId="7602F7E2" w:rsidR="0089291F" w:rsidRDefault="00197B5F" w:rsidP="00AB1C4C">
      <w:pPr>
        <w:pStyle w:val="BodyText"/>
        <w:spacing w:before="51" w:after="120"/>
        <w:ind w:left="302" w:right="360"/>
        <w:jc w:val="both"/>
      </w:pPr>
      <w:bookmarkStart w:id="1" w:name="_Hlk48142835"/>
      <w:bookmarkEnd w:id="0"/>
      <w:r w:rsidRPr="00E35B4C">
        <w:t xml:space="preserve">This TAGRISSO Treatment Plan </w:t>
      </w:r>
      <w:r w:rsidR="00B673DE">
        <w:t xml:space="preserve">is a draft treatment plan for implementation </w:t>
      </w:r>
      <w:r w:rsidR="007C292C">
        <w:t xml:space="preserve">of TAGRISSO </w:t>
      </w:r>
      <w:r w:rsidR="00767354">
        <w:t>in combination with pemetrexed an</w:t>
      </w:r>
      <w:r w:rsidR="00600723">
        <w:t>d</w:t>
      </w:r>
      <w:r w:rsidR="00767354">
        <w:t xml:space="preserve"> </w:t>
      </w:r>
      <w:r w:rsidR="00707396">
        <w:t xml:space="preserve">platinum-based chemotherapy </w:t>
      </w:r>
      <w:r w:rsidR="00B673DE">
        <w:t>into electronic medical record</w:t>
      </w:r>
      <w:r w:rsidR="00060F3D">
        <w:t>s</w:t>
      </w:r>
      <w:r w:rsidR="00B673DE">
        <w:t xml:space="preserve"> (EMR</w:t>
      </w:r>
      <w:r w:rsidR="00060F3D">
        <w:t>s</w:t>
      </w:r>
      <w:r w:rsidR="00B673DE">
        <w:t>) or paper treatment plans. Please modify as needed to meet institutional standards</w:t>
      </w:r>
      <w:bookmarkEnd w:id="1"/>
      <w:r w:rsidR="00B673DE">
        <w:t xml:space="preserve">. </w:t>
      </w:r>
    </w:p>
    <w:p w14:paraId="6EE08FB5" w14:textId="5EE7076F" w:rsidR="00B673DE" w:rsidRDefault="00B673DE" w:rsidP="004F0E79">
      <w:pPr>
        <w:pStyle w:val="BodyText"/>
        <w:ind w:left="302" w:right="360"/>
        <w:jc w:val="both"/>
        <w:rPr>
          <w:b/>
        </w:rPr>
      </w:pPr>
      <w:r>
        <w:rPr>
          <w:b/>
        </w:rPr>
        <w:t xml:space="preserve">Please see full </w:t>
      </w:r>
      <w:hyperlink r:id="rId11" w:history="1">
        <w:r w:rsidR="004F0E79" w:rsidRPr="004F0E79">
          <w:rPr>
            <w:rStyle w:val="Hyperlink"/>
            <w:b/>
            <w:bCs/>
          </w:rPr>
          <w:t>Prescribing Information</w:t>
        </w:r>
      </w:hyperlink>
      <w:r w:rsidRPr="004F0E79">
        <w:rPr>
          <w:b/>
        </w:rPr>
        <w:t xml:space="preserve"> </w:t>
      </w:r>
      <w:r>
        <w:rPr>
          <w:b/>
        </w:rPr>
        <w:t>for additional information.</w:t>
      </w:r>
    </w:p>
    <w:p w14:paraId="0CD6A546" w14:textId="1A5F6768" w:rsidR="000A781D" w:rsidRDefault="00F06AD0" w:rsidP="00F06AD0">
      <w:pPr>
        <w:pStyle w:val="BodyText"/>
        <w:tabs>
          <w:tab w:val="left" w:pos="9531"/>
        </w:tabs>
        <w:spacing w:after="40"/>
        <w:ind w:left="300" w:right="131"/>
        <w:rPr>
          <w:b/>
        </w:rPr>
      </w:pPr>
      <w:r>
        <w:rPr>
          <w:b/>
        </w:rPr>
        <w:tab/>
      </w:r>
    </w:p>
    <w:tbl>
      <w:tblPr>
        <w:tblW w:w="20266" w:type="dxa"/>
        <w:tblInd w:w="307" w:type="dxa"/>
        <w:tblLayout w:type="fixed"/>
        <w:tblCellMar>
          <w:left w:w="0" w:type="dxa"/>
          <w:right w:w="0" w:type="dxa"/>
        </w:tblCellMar>
        <w:tblLook w:val="01E0" w:firstRow="1" w:lastRow="1" w:firstColumn="1" w:lastColumn="1" w:noHBand="0" w:noVBand="0"/>
      </w:tblPr>
      <w:tblGrid>
        <w:gridCol w:w="3386"/>
        <w:gridCol w:w="6747"/>
        <w:gridCol w:w="10133"/>
      </w:tblGrid>
      <w:tr w:rsidR="00C63556" w14:paraId="36701D7C" w14:textId="3CF0CF14" w:rsidTr="009D1ED2">
        <w:trPr>
          <w:trHeight w:val="324"/>
        </w:trPr>
        <w:tc>
          <w:tcPr>
            <w:tcW w:w="10133" w:type="dxa"/>
            <w:gridSpan w:val="2"/>
            <w:shd w:val="clear" w:color="auto" w:fill="F1F1F1"/>
          </w:tcPr>
          <w:p w14:paraId="76870FA5" w14:textId="609B0D95" w:rsidR="00C63556" w:rsidRDefault="00C63556" w:rsidP="009B7D94">
            <w:pPr>
              <w:pStyle w:val="TableParagraph"/>
              <w:spacing w:before="40"/>
              <w:ind w:right="360"/>
              <w:rPr>
                <w:b/>
                <w:sz w:val="20"/>
              </w:rPr>
            </w:pPr>
            <w:r>
              <w:rPr>
                <w:b/>
                <w:color w:val="DD8046"/>
                <w:sz w:val="20"/>
              </w:rPr>
              <w:t>Institution P&amp;T Approval Date (if applicable):</w:t>
            </w:r>
          </w:p>
        </w:tc>
        <w:tc>
          <w:tcPr>
            <w:tcW w:w="10133" w:type="dxa"/>
            <w:shd w:val="clear" w:color="auto" w:fill="F1F1F1"/>
          </w:tcPr>
          <w:p w14:paraId="7D44FA45" w14:textId="3098F4DB" w:rsidR="00C63556" w:rsidRPr="00E35B4C" w:rsidRDefault="00C63556" w:rsidP="009B7D94">
            <w:pPr>
              <w:pStyle w:val="TableParagraph"/>
              <w:spacing w:before="40"/>
              <w:ind w:right="360"/>
              <w:rPr>
                <w:noProof/>
              </w:rPr>
            </w:pPr>
          </w:p>
        </w:tc>
      </w:tr>
      <w:tr w:rsidR="00C63556" w14:paraId="26615EBA" w14:textId="5A421842" w:rsidTr="009D1ED2">
        <w:trPr>
          <w:trHeight w:val="323"/>
        </w:trPr>
        <w:tc>
          <w:tcPr>
            <w:tcW w:w="3386" w:type="dxa"/>
          </w:tcPr>
          <w:p w14:paraId="0627F14C" w14:textId="449EF1DA" w:rsidR="00C63556" w:rsidRDefault="00C63556">
            <w:pPr>
              <w:pStyle w:val="TableParagraph"/>
              <w:spacing w:before="40"/>
              <w:rPr>
                <w:b/>
                <w:sz w:val="20"/>
              </w:rPr>
            </w:pPr>
            <w:r>
              <w:rPr>
                <w:b/>
                <w:color w:val="DD8046"/>
                <w:sz w:val="20"/>
              </w:rPr>
              <w:t>Place in Therapy/Pathway:</w:t>
            </w:r>
          </w:p>
        </w:tc>
        <w:tc>
          <w:tcPr>
            <w:tcW w:w="6747" w:type="dxa"/>
          </w:tcPr>
          <w:p w14:paraId="45609C84" w14:textId="3D72E302" w:rsidR="00C63556" w:rsidRDefault="00C63556">
            <w:pPr>
              <w:pStyle w:val="TableParagraph"/>
              <w:rPr>
                <w:rFonts w:ascii="Times New Roman"/>
                <w:sz w:val="20"/>
              </w:rPr>
            </w:pPr>
          </w:p>
        </w:tc>
        <w:tc>
          <w:tcPr>
            <w:tcW w:w="10133" w:type="dxa"/>
          </w:tcPr>
          <w:p w14:paraId="34A98B19" w14:textId="77777777" w:rsidR="00C63556" w:rsidRDefault="00C63556">
            <w:pPr>
              <w:pStyle w:val="TableParagraph"/>
              <w:rPr>
                <w:rFonts w:ascii="Times New Roman"/>
                <w:sz w:val="20"/>
              </w:rPr>
            </w:pPr>
          </w:p>
        </w:tc>
      </w:tr>
      <w:tr w:rsidR="00C63556" w14:paraId="268A2665" w14:textId="6749FFDE" w:rsidTr="009D1ED2">
        <w:trPr>
          <w:trHeight w:val="324"/>
        </w:trPr>
        <w:tc>
          <w:tcPr>
            <w:tcW w:w="3386" w:type="dxa"/>
            <w:shd w:val="clear" w:color="auto" w:fill="F1F1F1"/>
          </w:tcPr>
          <w:p w14:paraId="007BD932" w14:textId="02A49164" w:rsidR="00C63556" w:rsidRDefault="00C63556">
            <w:pPr>
              <w:pStyle w:val="TableParagraph"/>
              <w:spacing w:before="40"/>
              <w:rPr>
                <w:b/>
                <w:sz w:val="20"/>
              </w:rPr>
            </w:pPr>
            <w:r>
              <w:rPr>
                <w:b/>
                <w:color w:val="DD8046"/>
                <w:sz w:val="20"/>
              </w:rPr>
              <w:t>Lead Physician:</w:t>
            </w:r>
          </w:p>
        </w:tc>
        <w:tc>
          <w:tcPr>
            <w:tcW w:w="6747" w:type="dxa"/>
            <w:shd w:val="clear" w:color="auto" w:fill="F1F1F1"/>
          </w:tcPr>
          <w:p w14:paraId="2A47FB8D" w14:textId="489CE396" w:rsidR="00C63556" w:rsidRDefault="00C63556" w:rsidP="00B93BD8">
            <w:pPr>
              <w:pStyle w:val="TableParagraph"/>
              <w:spacing w:before="40"/>
              <w:ind w:left="1440"/>
              <w:rPr>
                <w:b/>
                <w:sz w:val="20"/>
              </w:rPr>
            </w:pPr>
            <w:r>
              <w:rPr>
                <w:b/>
                <w:color w:val="DD8046"/>
                <w:sz w:val="20"/>
              </w:rPr>
              <w:t>Oncology Nurse/Pharmacist:</w:t>
            </w:r>
          </w:p>
        </w:tc>
        <w:tc>
          <w:tcPr>
            <w:tcW w:w="10133" w:type="dxa"/>
            <w:shd w:val="clear" w:color="auto" w:fill="F1F1F1"/>
          </w:tcPr>
          <w:p w14:paraId="1CE9D3EC" w14:textId="77777777" w:rsidR="00C63556" w:rsidRDefault="00C63556" w:rsidP="00B93BD8">
            <w:pPr>
              <w:pStyle w:val="TableParagraph"/>
              <w:spacing w:before="40"/>
              <w:ind w:left="1440"/>
              <w:rPr>
                <w:b/>
                <w:color w:val="DD8046"/>
                <w:sz w:val="20"/>
              </w:rPr>
            </w:pPr>
          </w:p>
        </w:tc>
      </w:tr>
      <w:tr w:rsidR="00C63556" w14:paraId="7089B231" w14:textId="5173CA44" w:rsidTr="009D1ED2">
        <w:trPr>
          <w:trHeight w:val="280"/>
        </w:trPr>
        <w:tc>
          <w:tcPr>
            <w:tcW w:w="3386" w:type="dxa"/>
          </w:tcPr>
          <w:p w14:paraId="1CEFAB53" w14:textId="1DC9B924" w:rsidR="00C63556" w:rsidRDefault="00C63556">
            <w:pPr>
              <w:pStyle w:val="TableParagraph"/>
              <w:spacing w:before="40" w:line="220" w:lineRule="exact"/>
              <w:rPr>
                <w:b/>
                <w:sz w:val="20"/>
              </w:rPr>
            </w:pPr>
            <w:r>
              <w:rPr>
                <w:b/>
                <w:color w:val="DD8046"/>
                <w:sz w:val="20"/>
              </w:rPr>
              <w:t>Approval Signature:</w:t>
            </w:r>
          </w:p>
        </w:tc>
        <w:tc>
          <w:tcPr>
            <w:tcW w:w="6747" w:type="dxa"/>
          </w:tcPr>
          <w:p w14:paraId="318C5AF2" w14:textId="62E38794" w:rsidR="00C63556" w:rsidRDefault="00C63556" w:rsidP="00B93BD8">
            <w:pPr>
              <w:pStyle w:val="TableParagraph"/>
              <w:spacing w:before="40" w:line="220" w:lineRule="exact"/>
              <w:ind w:left="1440"/>
              <w:rPr>
                <w:b/>
                <w:sz w:val="20"/>
              </w:rPr>
            </w:pPr>
            <w:r>
              <w:rPr>
                <w:b/>
                <w:color w:val="DD8046"/>
                <w:sz w:val="20"/>
              </w:rPr>
              <w:t>Approval Signature:</w:t>
            </w:r>
          </w:p>
        </w:tc>
        <w:tc>
          <w:tcPr>
            <w:tcW w:w="10133" w:type="dxa"/>
          </w:tcPr>
          <w:p w14:paraId="6223821F" w14:textId="77777777" w:rsidR="00C63556" w:rsidRDefault="00C63556" w:rsidP="00B93BD8">
            <w:pPr>
              <w:pStyle w:val="TableParagraph"/>
              <w:spacing w:before="40" w:line="220" w:lineRule="exact"/>
              <w:ind w:left="1440"/>
              <w:rPr>
                <w:b/>
                <w:color w:val="DD8046"/>
                <w:sz w:val="20"/>
              </w:rPr>
            </w:pPr>
          </w:p>
        </w:tc>
      </w:tr>
    </w:tbl>
    <w:p w14:paraId="4DF54461" w14:textId="7A4FB32E" w:rsidR="000A781D" w:rsidRDefault="000A781D" w:rsidP="0032545C">
      <w:pPr>
        <w:pStyle w:val="BodyText"/>
        <w:rPr>
          <w:b/>
        </w:rPr>
      </w:pPr>
    </w:p>
    <w:tbl>
      <w:tblPr>
        <w:tblW w:w="0" w:type="auto"/>
        <w:tblInd w:w="307" w:type="dxa"/>
        <w:tblLayout w:type="fixed"/>
        <w:tblCellMar>
          <w:left w:w="0" w:type="dxa"/>
          <w:right w:w="0" w:type="dxa"/>
        </w:tblCellMar>
        <w:tblLook w:val="01E0" w:firstRow="1" w:lastRow="1" w:firstColumn="1" w:lastColumn="1" w:noHBand="0" w:noVBand="0"/>
      </w:tblPr>
      <w:tblGrid>
        <w:gridCol w:w="1908"/>
        <w:gridCol w:w="8225"/>
      </w:tblGrid>
      <w:tr w:rsidR="00073818" w:rsidRPr="00B10924" w14:paraId="6457C402" w14:textId="77777777" w:rsidTr="009B7D94">
        <w:trPr>
          <w:trHeight w:val="245"/>
        </w:trPr>
        <w:tc>
          <w:tcPr>
            <w:tcW w:w="1908" w:type="dxa"/>
            <w:tcMar>
              <w:left w:w="144" w:type="dxa"/>
              <w:right w:w="144" w:type="dxa"/>
            </w:tcMar>
          </w:tcPr>
          <w:p w14:paraId="46E6FA94" w14:textId="6013C414" w:rsidR="00073818" w:rsidRPr="00B10924" w:rsidRDefault="002A3628" w:rsidP="0098086D">
            <w:pPr>
              <w:pStyle w:val="TableParagraph"/>
              <w:spacing w:line="203" w:lineRule="exact"/>
              <w:ind w:left="-91"/>
              <w:rPr>
                <w:b/>
                <w:sz w:val="20"/>
                <w:szCs w:val="20"/>
              </w:rPr>
            </w:pPr>
            <w:r w:rsidRPr="00B10924">
              <w:rPr>
                <w:b/>
                <w:color w:val="DD8046"/>
                <w:sz w:val="20"/>
                <w:szCs w:val="20"/>
              </w:rPr>
              <w:t>Indication</w:t>
            </w:r>
            <w:r w:rsidR="00137543">
              <w:rPr>
                <w:b/>
                <w:color w:val="DD8046"/>
                <w:sz w:val="20"/>
                <w:szCs w:val="20"/>
              </w:rPr>
              <w:t xml:space="preserve"> </w:t>
            </w:r>
          </w:p>
        </w:tc>
        <w:tc>
          <w:tcPr>
            <w:tcW w:w="8225" w:type="dxa"/>
            <w:tcMar>
              <w:left w:w="144" w:type="dxa"/>
              <w:right w:w="144" w:type="dxa"/>
            </w:tcMar>
          </w:tcPr>
          <w:p w14:paraId="2627EA64" w14:textId="7D79F23E" w:rsidR="00073818" w:rsidRPr="00B10924" w:rsidRDefault="002A3628" w:rsidP="008140D9">
            <w:pPr>
              <w:pStyle w:val="TableParagraph"/>
              <w:spacing w:line="203" w:lineRule="exact"/>
              <w:ind w:left="427"/>
              <w:rPr>
                <w:b/>
                <w:sz w:val="20"/>
                <w:szCs w:val="20"/>
              </w:rPr>
            </w:pPr>
            <w:r w:rsidRPr="00B10924">
              <w:rPr>
                <w:b/>
                <w:color w:val="DD8046"/>
                <w:sz w:val="20"/>
                <w:szCs w:val="20"/>
              </w:rPr>
              <w:t>Comments</w:t>
            </w:r>
          </w:p>
        </w:tc>
      </w:tr>
      <w:tr w:rsidR="00073818" w:rsidRPr="00B10924" w14:paraId="15932AE6" w14:textId="77777777" w:rsidTr="002E3924">
        <w:trPr>
          <w:trHeight w:val="972"/>
        </w:trPr>
        <w:tc>
          <w:tcPr>
            <w:tcW w:w="1908" w:type="dxa"/>
            <w:shd w:val="clear" w:color="auto" w:fill="F1F1F1"/>
            <w:tcMar>
              <w:left w:w="144" w:type="dxa"/>
              <w:right w:w="144" w:type="dxa"/>
            </w:tcMar>
          </w:tcPr>
          <w:p w14:paraId="16077E16" w14:textId="0FCF3338" w:rsidR="00073818" w:rsidRPr="00F13AEE" w:rsidRDefault="00073818">
            <w:pPr>
              <w:pStyle w:val="TableParagraph"/>
              <w:rPr>
                <w:rFonts w:asciiTheme="minorHAnsi" w:hAnsiTheme="minorHAnsi" w:cstheme="minorHAnsi"/>
                <w:sz w:val="20"/>
                <w:szCs w:val="20"/>
              </w:rPr>
            </w:pPr>
          </w:p>
        </w:tc>
        <w:tc>
          <w:tcPr>
            <w:tcW w:w="8225" w:type="dxa"/>
            <w:shd w:val="clear" w:color="auto" w:fill="F1F1F1"/>
            <w:tcMar>
              <w:left w:w="144" w:type="dxa"/>
              <w:right w:w="144" w:type="dxa"/>
            </w:tcMar>
          </w:tcPr>
          <w:p w14:paraId="0A345AFC" w14:textId="7DB0ADE1" w:rsidR="00D9315D" w:rsidRPr="002E3924" w:rsidRDefault="00C73CDC" w:rsidP="002E3924">
            <w:pPr>
              <w:pStyle w:val="TableParagraph"/>
              <w:numPr>
                <w:ilvl w:val="0"/>
                <w:numId w:val="5"/>
              </w:numPr>
              <w:spacing w:before="39"/>
              <w:ind w:left="697" w:hanging="270"/>
              <w:jc w:val="both"/>
              <w:rPr>
                <w:sz w:val="20"/>
                <w:szCs w:val="20"/>
              </w:rPr>
            </w:pPr>
            <w:r>
              <w:rPr>
                <w:sz w:val="20"/>
                <w:szCs w:val="20"/>
              </w:rPr>
              <w:t>TAGRISSO</w:t>
            </w:r>
            <w:r w:rsidR="00DF28AF">
              <w:rPr>
                <w:sz w:val="20"/>
                <w:szCs w:val="20"/>
              </w:rPr>
              <w:t xml:space="preserve">, </w:t>
            </w:r>
            <w:r w:rsidR="00287B53" w:rsidRPr="00226C62">
              <w:rPr>
                <w:sz w:val="20"/>
                <w:szCs w:val="20"/>
              </w:rPr>
              <w:t xml:space="preserve">in combination with pemetrexed and platinum-based chemotherapy, </w:t>
            </w:r>
            <w:r w:rsidR="008837DA">
              <w:rPr>
                <w:sz w:val="20"/>
                <w:szCs w:val="20"/>
              </w:rPr>
              <w:t xml:space="preserve">is indicated </w:t>
            </w:r>
            <w:r w:rsidR="001008BB">
              <w:rPr>
                <w:sz w:val="20"/>
                <w:szCs w:val="20"/>
              </w:rPr>
              <w:t xml:space="preserve">for </w:t>
            </w:r>
            <w:r w:rsidR="00287B53" w:rsidRPr="00226C62">
              <w:rPr>
                <w:sz w:val="20"/>
                <w:szCs w:val="20"/>
              </w:rPr>
              <w:t>the first-line treatment of adult patients with locally advanced or metastatic NSCLC whose tumors have EGFR exon 19 deletions or exon 21 L858R mutations, as detected by an FDA-approved test.</w:t>
            </w:r>
          </w:p>
        </w:tc>
      </w:tr>
    </w:tbl>
    <w:p w14:paraId="49E1799E" w14:textId="221E4516" w:rsidR="00073818" w:rsidRDefault="00C60679">
      <w:pPr>
        <w:pStyle w:val="BodyText"/>
        <w:rPr>
          <w:sz w:val="10"/>
        </w:rPr>
      </w:pPr>
      <w:r>
        <w:rPr>
          <w:sz w:val="10"/>
        </w:rPr>
        <w:t xml:space="preserve"> </w:t>
      </w:r>
    </w:p>
    <w:tbl>
      <w:tblPr>
        <w:tblW w:w="0" w:type="auto"/>
        <w:tblInd w:w="307" w:type="dxa"/>
        <w:tblLayout w:type="fixed"/>
        <w:tblCellMar>
          <w:left w:w="0" w:type="dxa"/>
          <w:right w:w="0" w:type="dxa"/>
        </w:tblCellMar>
        <w:tblLook w:val="01E0" w:firstRow="1" w:lastRow="1" w:firstColumn="1" w:lastColumn="1" w:noHBand="0" w:noVBand="0"/>
      </w:tblPr>
      <w:tblGrid>
        <w:gridCol w:w="1908"/>
        <w:gridCol w:w="8225"/>
      </w:tblGrid>
      <w:tr w:rsidR="0098086D" w:rsidRPr="00B10924" w14:paraId="4C6F3ED2" w14:textId="77777777" w:rsidTr="00175833">
        <w:trPr>
          <w:trHeight w:val="245"/>
        </w:trPr>
        <w:tc>
          <w:tcPr>
            <w:tcW w:w="1908" w:type="dxa"/>
            <w:tcMar>
              <w:left w:w="144" w:type="dxa"/>
              <w:right w:w="144" w:type="dxa"/>
            </w:tcMar>
          </w:tcPr>
          <w:p w14:paraId="6A0387D9" w14:textId="30211479" w:rsidR="0098086D" w:rsidRPr="00B10924" w:rsidRDefault="0098086D" w:rsidP="0098086D">
            <w:pPr>
              <w:pStyle w:val="TableParagraph"/>
              <w:spacing w:line="203" w:lineRule="exact"/>
              <w:ind w:left="-91"/>
              <w:rPr>
                <w:b/>
                <w:sz w:val="20"/>
                <w:szCs w:val="20"/>
              </w:rPr>
            </w:pPr>
          </w:p>
        </w:tc>
        <w:tc>
          <w:tcPr>
            <w:tcW w:w="8225" w:type="dxa"/>
            <w:tcMar>
              <w:left w:w="144" w:type="dxa"/>
              <w:right w:w="144" w:type="dxa"/>
            </w:tcMar>
          </w:tcPr>
          <w:p w14:paraId="247F8DCA" w14:textId="7D2ED2A1" w:rsidR="0098086D" w:rsidRPr="00B10924" w:rsidRDefault="0098086D" w:rsidP="008140D9">
            <w:pPr>
              <w:pStyle w:val="TableParagraph"/>
              <w:spacing w:line="203" w:lineRule="exact"/>
              <w:ind w:left="427"/>
              <w:rPr>
                <w:b/>
                <w:sz w:val="20"/>
                <w:szCs w:val="20"/>
              </w:rPr>
            </w:pPr>
          </w:p>
        </w:tc>
      </w:tr>
      <w:tr w:rsidR="0098086D" w:rsidRPr="00B10924" w14:paraId="563347F9" w14:textId="77777777" w:rsidTr="002467C1">
        <w:trPr>
          <w:trHeight w:val="270"/>
        </w:trPr>
        <w:tc>
          <w:tcPr>
            <w:tcW w:w="1908" w:type="dxa"/>
            <w:shd w:val="clear" w:color="auto" w:fill="F1F1F1"/>
            <w:tcMar>
              <w:left w:w="144" w:type="dxa"/>
              <w:right w:w="144" w:type="dxa"/>
            </w:tcMar>
          </w:tcPr>
          <w:p w14:paraId="62C9E038" w14:textId="54756F09" w:rsidR="0098086D" w:rsidRPr="00B10924" w:rsidRDefault="00137543">
            <w:pPr>
              <w:pStyle w:val="TableParagraph"/>
              <w:rPr>
                <w:rFonts w:ascii="Times New Roman"/>
                <w:sz w:val="20"/>
                <w:szCs w:val="20"/>
              </w:rPr>
            </w:pPr>
            <w:r w:rsidRPr="00226C62">
              <w:rPr>
                <w:b/>
                <w:color w:val="F79646" w:themeColor="accent6"/>
                <w:sz w:val="20"/>
                <w:szCs w:val="20"/>
              </w:rPr>
              <w:t>Contraindications</w:t>
            </w:r>
          </w:p>
        </w:tc>
        <w:tc>
          <w:tcPr>
            <w:tcW w:w="8225" w:type="dxa"/>
            <w:shd w:val="clear" w:color="auto" w:fill="F1F1F1"/>
            <w:tcMar>
              <w:left w:w="144" w:type="dxa"/>
              <w:right w:w="144" w:type="dxa"/>
            </w:tcMar>
          </w:tcPr>
          <w:p w14:paraId="75ABADB1" w14:textId="0C49CADB" w:rsidR="0098086D" w:rsidRPr="00B10924" w:rsidRDefault="0098086D" w:rsidP="008140D9">
            <w:pPr>
              <w:pStyle w:val="TableParagraph"/>
              <w:spacing w:before="40"/>
              <w:ind w:left="427"/>
              <w:rPr>
                <w:sz w:val="20"/>
                <w:szCs w:val="20"/>
              </w:rPr>
            </w:pPr>
            <w:r>
              <w:rPr>
                <w:sz w:val="20"/>
                <w:szCs w:val="20"/>
              </w:rPr>
              <w:t>None</w:t>
            </w:r>
            <w:r w:rsidRPr="00B10924">
              <w:rPr>
                <w:sz w:val="20"/>
                <w:szCs w:val="20"/>
              </w:rPr>
              <w:t xml:space="preserve"> </w:t>
            </w:r>
          </w:p>
        </w:tc>
      </w:tr>
    </w:tbl>
    <w:p w14:paraId="085D1239" w14:textId="5B9FA916" w:rsidR="0098086D" w:rsidRDefault="0098086D">
      <w:pPr>
        <w:pStyle w:val="BodyText"/>
        <w:rPr>
          <w:sz w:val="10"/>
        </w:rPr>
      </w:pPr>
    </w:p>
    <w:tbl>
      <w:tblPr>
        <w:tblW w:w="10133" w:type="dxa"/>
        <w:tblInd w:w="307" w:type="dxa"/>
        <w:tblLayout w:type="fixed"/>
        <w:tblCellMar>
          <w:left w:w="0" w:type="dxa"/>
          <w:right w:w="0" w:type="dxa"/>
        </w:tblCellMar>
        <w:tblLook w:val="01E0" w:firstRow="1" w:lastRow="1" w:firstColumn="1" w:lastColumn="1" w:noHBand="0" w:noVBand="0"/>
      </w:tblPr>
      <w:tblGrid>
        <w:gridCol w:w="2213"/>
        <w:gridCol w:w="3420"/>
        <w:gridCol w:w="4500"/>
      </w:tblGrid>
      <w:tr w:rsidR="00073818" w:rsidRPr="00A33FB5" w14:paraId="48F1C20C" w14:textId="77777777" w:rsidTr="00DD0571">
        <w:trPr>
          <w:trHeight w:val="254"/>
        </w:trPr>
        <w:tc>
          <w:tcPr>
            <w:tcW w:w="2213" w:type="dxa"/>
            <w:tcMar>
              <w:left w:w="144" w:type="dxa"/>
              <w:right w:w="144" w:type="dxa"/>
            </w:tcMar>
          </w:tcPr>
          <w:p w14:paraId="7590C45C" w14:textId="595FCCBF" w:rsidR="00073818" w:rsidRPr="00A33FB5" w:rsidRDefault="002A3628" w:rsidP="00332CDD">
            <w:pPr>
              <w:pStyle w:val="TableParagraph"/>
              <w:spacing w:line="215" w:lineRule="exact"/>
              <w:ind w:left="-91"/>
              <w:rPr>
                <w:b/>
                <w:sz w:val="20"/>
                <w:szCs w:val="20"/>
              </w:rPr>
            </w:pPr>
            <w:r w:rsidRPr="00A33FB5">
              <w:rPr>
                <w:b/>
                <w:color w:val="EC7C30"/>
                <w:sz w:val="20"/>
                <w:szCs w:val="20"/>
              </w:rPr>
              <w:t>Drug (</w:t>
            </w:r>
            <w:proofErr w:type="spellStart"/>
            <w:r w:rsidRPr="00A33FB5">
              <w:rPr>
                <w:b/>
                <w:color w:val="EC7C30"/>
                <w:sz w:val="20"/>
                <w:szCs w:val="20"/>
              </w:rPr>
              <w:t>eRx</w:t>
            </w:r>
            <w:proofErr w:type="spellEnd"/>
            <w:r w:rsidRPr="00A33FB5">
              <w:rPr>
                <w:b/>
                <w:color w:val="EC7C30"/>
                <w:sz w:val="20"/>
                <w:szCs w:val="20"/>
              </w:rPr>
              <w:t>)</w:t>
            </w:r>
          </w:p>
        </w:tc>
        <w:tc>
          <w:tcPr>
            <w:tcW w:w="3420" w:type="dxa"/>
            <w:tcMar>
              <w:left w:w="144" w:type="dxa"/>
              <w:right w:w="144" w:type="dxa"/>
            </w:tcMar>
          </w:tcPr>
          <w:p w14:paraId="4DC9EB57" w14:textId="71B93929" w:rsidR="00073818" w:rsidRPr="00A33FB5" w:rsidRDefault="002A3628" w:rsidP="008140D9">
            <w:pPr>
              <w:pStyle w:val="TableParagraph"/>
              <w:spacing w:line="215" w:lineRule="exact"/>
              <w:rPr>
                <w:b/>
                <w:sz w:val="20"/>
                <w:szCs w:val="20"/>
              </w:rPr>
            </w:pPr>
            <w:r w:rsidRPr="00A33FB5">
              <w:rPr>
                <w:b/>
                <w:color w:val="EC7C30"/>
                <w:sz w:val="20"/>
                <w:szCs w:val="20"/>
              </w:rPr>
              <w:t>Dosage</w:t>
            </w:r>
          </w:p>
        </w:tc>
        <w:tc>
          <w:tcPr>
            <w:tcW w:w="4500" w:type="dxa"/>
            <w:tcMar>
              <w:left w:w="144" w:type="dxa"/>
              <w:right w:w="144" w:type="dxa"/>
            </w:tcMar>
          </w:tcPr>
          <w:p w14:paraId="5656546D" w14:textId="02F15163" w:rsidR="00073818" w:rsidRPr="00A33FB5" w:rsidRDefault="002A3628" w:rsidP="008140D9">
            <w:pPr>
              <w:pStyle w:val="TableParagraph"/>
              <w:spacing w:line="215" w:lineRule="exact"/>
              <w:rPr>
                <w:b/>
                <w:sz w:val="20"/>
                <w:szCs w:val="20"/>
              </w:rPr>
            </w:pPr>
            <w:r w:rsidRPr="00A33FB5">
              <w:rPr>
                <w:b/>
                <w:color w:val="EC7C30"/>
                <w:sz w:val="20"/>
                <w:szCs w:val="20"/>
              </w:rPr>
              <w:t>Comments</w:t>
            </w:r>
          </w:p>
        </w:tc>
      </w:tr>
      <w:tr w:rsidR="00073818" w:rsidRPr="00A33FB5" w14:paraId="5D3A3F5A" w14:textId="77777777" w:rsidTr="00DD0571">
        <w:trPr>
          <w:trHeight w:val="6093"/>
        </w:trPr>
        <w:tc>
          <w:tcPr>
            <w:tcW w:w="2213" w:type="dxa"/>
            <w:shd w:val="clear" w:color="auto" w:fill="F1F1F1"/>
            <w:tcMar>
              <w:left w:w="144" w:type="dxa"/>
              <w:right w:w="144" w:type="dxa"/>
            </w:tcMar>
          </w:tcPr>
          <w:p w14:paraId="7DAE2823" w14:textId="5FE108E2" w:rsidR="00073818" w:rsidRPr="00A33FB5" w:rsidRDefault="00A33FB5" w:rsidP="00824B2D">
            <w:pPr>
              <w:pStyle w:val="TableParagraph"/>
              <w:spacing w:before="40"/>
              <w:ind w:left="-1"/>
              <w:rPr>
                <w:sz w:val="20"/>
                <w:szCs w:val="20"/>
              </w:rPr>
            </w:pPr>
            <w:r>
              <w:rPr>
                <w:sz w:val="20"/>
                <w:szCs w:val="20"/>
              </w:rPr>
              <w:t>Osimertinib 80</w:t>
            </w:r>
            <w:r w:rsidR="00F97A57">
              <w:rPr>
                <w:sz w:val="20"/>
                <w:szCs w:val="20"/>
              </w:rPr>
              <w:t xml:space="preserve"> </w:t>
            </w:r>
            <w:r>
              <w:rPr>
                <w:sz w:val="20"/>
                <w:szCs w:val="20"/>
              </w:rPr>
              <w:t>mg</w:t>
            </w:r>
          </w:p>
          <w:p w14:paraId="1D46C87E" w14:textId="2E0DADF1" w:rsidR="00073818" w:rsidRPr="00A33FB5" w:rsidRDefault="002A3628" w:rsidP="008140D9">
            <w:pPr>
              <w:pStyle w:val="TableParagraph"/>
              <w:spacing w:before="41" w:line="276" w:lineRule="auto"/>
              <w:ind w:left="-1" w:right="-143"/>
              <w:rPr>
                <w:sz w:val="20"/>
                <w:szCs w:val="20"/>
              </w:rPr>
            </w:pPr>
            <w:r w:rsidRPr="00A33FB5">
              <w:rPr>
                <w:sz w:val="20"/>
                <w:szCs w:val="20"/>
              </w:rPr>
              <w:t xml:space="preserve">Strengths: </w:t>
            </w:r>
            <w:r w:rsidR="00A33FB5">
              <w:rPr>
                <w:sz w:val="20"/>
                <w:szCs w:val="20"/>
              </w:rPr>
              <w:t>80</w:t>
            </w:r>
            <w:r w:rsidR="0044625A">
              <w:rPr>
                <w:sz w:val="20"/>
                <w:szCs w:val="20"/>
              </w:rPr>
              <w:t xml:space="preserve"> </w:t>
            </w:r>
            <w:r w:rsidRPr="00A33FB5">
              <w:rPr>
                <w:sz w:val="20"/>
                <w:szCs w:val="20"/>
              </w:rPr>
              <w:t xml:space="preserve">mg tablet, </w:t>
            </w:r>
            <w:r w:rsidR="00A33FB5">
              <w:rPr>
                <w:sz w:val="20"/>
                <w:szCs w:val="20"/>
              </w:rPr>
              <w:t>40</w:t>
            </w:r>
            <w:r w:rsidR="0044625A">
              <w:rPr>
                <w:sz w:val="20"/>
                <w:szCs w:val="20"/>
              </w:rPr>
              <w:t xml:space="preserve"> </w:t>
            </w:r>
            <w:r w:rsidRPr="00A33FB5">
              <w:rPr>
                <w:sz w:val="20"/>
                <w:szCs w:val="20"/>
              </w:rPr>
              <w:t>mg tablet</w:t>
            </w:r>
          </w:p>
        </w:tc>
        <w:tc>
          <w:tcPr>
            <w:tcW w:w="3420" w:type="dxa"/>
            <w:shd w:val="clear" w:color="auto" w:fill="F1F1F1"/>
            <w:tcMar>
              <w:left w:w="144" w:type="dxa"/>
              <w:right w:w="144" w:type="dxa"/>
            </w:tcMar>
          </w:tcPr>
          <w:p w14:paraId="3F865454" w14:textId="08EDF729" w:rsidR="00073818" w:rsidRDefault="002A3628" w:rsidP="008140D9">
            <w:pPr>
              <w:pStyle w:val="TableParagraph"/>
              <w:numPr>
                <w:ilvl w:val="0"/>
                <w:numId w:val="3"/>
              </w:numPr>
              <w:spacing w:before="40" w:line="242" w:lineRule="auto"/>
              <w:ind w:left="307" w:right="143" w:hanging="270"/>
              <w:rPr>
                <w:sz w:val="20"/>
                <w:szCs w:val="20"/>
              </w:rPr>
            </w:pPr>
            <w:r w:rsidRPr="00A33FB5">
              <w:rPr>
                <w:sz w:val="20"/>
                <w:szCs w:val="20"/>
              </w:rPr>
              <w:t xml:space="preserve">Recommended dose is </w:t>
            </w:r>
            <w:r w:rsidR="00724C2F">
              <w:rPr>
                <w:sz w:val="20"/>
                <w:szCs w:val="20"/>
              </w:rPr>
              <w:t>a</w:t>
            </w:r>
            <w:r w:rsidR="00EE42B3">
              <w:rPr>
                <w:sz w:val="20"/>
                <w:szCs w:val="20"/>
              </w:rPr>
              <w:t>n</w:t>
            </w:r>
            <w:r w:rsidR="00724C2F">
              <w:rPr>
                <w:sz w:val="20"/>
                <w:szCs w:val="20"/>
              </w:rPr>
              <w:t xml:space="preserve"> 80</w:t>
            </w:r>
            <w:r w:rsidRPr="00A33FB5">
              <w:rPr>
                <w:sz w:val="20"/>
                <w:szCs w:val="20"/>
              </w:rPr>
              <w:t xml:space="preserve"> mg tablet</w:t>
            </w:r>
            <w:r w:rsidRPr="00A33FB5">
              <w:rPr>
                <w:spacing w:val="-5"/>
                <w:sz w:val="20"/>
                <w:szCs w:val="20"/>
              </w:rPr>
              <w:t xml:space="preserve"> </w:t>
            </w:r>
            <w:r w:rsidRPr="00A33FB5">
              <w:rPr>
                <w:sz w:val="20"/>
                <w:szCs w:val="20"/>
              </w:rPr>
              <w:t>taken</w:t>
            </w:r>
            <w:r w:rsidR="00724C2F">
              <w:rPr>
                <w:sz w:val="20"/>
                <w:szCs w:val="20"/>
              </w:rPr>
              <w:t xml:space="preserve"> </w:t>
            </w:r>
            <w:r w:rsidRPr="00724C2F">
              <w:rPr>
                <w:sz w:val="20"/>
                <w:szCs w:val="20"/>
              </w:rPr>
              <w:t xml:space="preserve">orally </w:t>
            </w:r>
            <w:r w:rsidR="00724C2F">
              <w:rPr>
                <w:sz w:val="20"/>
                <w:szCs w:val="20"/>
              </w:rPr>
              <w:t xml:space="preserve">once </w:t>
            </w:r>
            <w:r w:rsidR="00DE64F1">
              <w:rPr>
                <w:sz w:val="20"/>
                <w:szCs w:val="20"/>
              </w:rPr>
              <w:t>daily</w:t>
            </w:r>
            <w:r w:rsidR="005F4DA3">
              <w:rPr>
                <w:sz w:val="20"/>
                <w:szCs w:val="20"/>
              </w:rPr>
              <w:t xml:space="preserve"> </w:t>
            </w:r>
            <w:r w:rsidR="00287B53" w:rsidRPr="00226C62">
              <w:rPr>
                <w:sz w:val="20"/>
                <w:szCs w:val="20"/>
              </w:rPr>
              <w:t>when taken with pemetrexed and platinum-based chemotherapy</w:t>
            </w:r>
            <w:r w:rsidR="00DD630C">
              <w:rPr>
                <w:sz w:val="20"/>
                <w:szCs w:val="20"/>
              </w:rPr>
              <w:t>.</w:t>
            </w:r>
          </w:p>
          <w:p w14:paraId="7BF5C98A" w14:textId="1F419F8E" w:rsidR="00A006CC" w:rsidRDefault="00A006CC" w:rsidP="008140D9">
            <w:pPr>
              <w:pStyle w:val="TableParagraph"/>
              <w:numPr>
                <w:ilvl w:val="0"/>
                <w:numId w:val="3"/>
              </w:numPr>
              <w:spacing w:before="40" w:line="242" w:lineRule="auto"/>
              <w:ind w:left="307" w:right="143" w:hanging="270"/>
              <w:rPr>
                <w:sz w:val="20"/>
                <w:szCs w:val="20"/>
              </w:rPr>
            </w:pPr>
            <w:r w:rsidRPr="00FA0100">
              <w:rPr>
                <w:sz w:val="20"/>
                <w:szCs w:val="20"/>
              </w:rPr>
              <w:t>Refer to the Prescribing Information for pemetrexed and cisplatin or carboplatin for the respective dosing information.</w:t>
            </w:r>
          </w:p>
          <w:p w14:paraId="28134B30" w14:textId="1A1F18FB" w:rsidR="00C615E0" w:rsidRPr="00A006CC" w:rsidRDefault="00332CDD" w:rsidP="00A006CC">
            <w:pPr>
              <w:pStyle w:val="TableParagraph"/>
              <w:numPr>
                <w:ilvl w:val="0"/>
                <w:numId w:val="3"/>
              </w:numPr>
              <w:spacing w:before="40" w:line="242" w:lineRule="auto"/>
              <w:ind w:left="317" w:right="144" w:hanging="274"/>
              <w:rPr>
                <w:sz w:val="20"/>
                <w:szCs w:val="20"/>
              </w:rPr>
            </w:pPr>
            <w:r>
              <w:rPr>
                <w:sz w:val="20"/>
                <w:szCs w:val="20"/>
              </w:rPr>
              <w:t xml:space="preserve">TAGRISSO may be taken with or without </w:t>
            </w:r>
            <w:r w:rsidR="006B608B">
              <w:rPr>
                <w:sz w:val="20"/>
                <w:szCs w:val="20"/>
              </w:rPr>
              <w:t>food.</w:t>
            </w:r>
          </w:p>
          <w:p w14:paraId="399F28A3" w14:textId="3090753E" w:rsidR="008A6B00" w:rsidRDefault="008A6B00" w:rsidP="008140D9">
            <w:pPr>
              <w:pStyle w:val="TableParagraph"/>
              <w:numPr>
                <w:ilvl w:val="0"/>
                <w:numId w:val="3"/>
              </w:numPr>
              <w:spacing w:before="40" w:line="242" w:lineRule="auto"/>
              <w:ind w:left="307" w:right="143" w:hanging="270"/>
              <w:rPr>
                <w:sz w:val="20"/>
                <w:szCs w:val="20"/>
              </w:rPr>
            </w:pPr>
            <w:r>
              <w:rPr>
                <w:sz w:val="20"/>
                <w:szCs w:val="20"/>
              </w:rPr>
              <w:t xml:space="preserve">Treat patients with </w:t>
            </w:r>
            <w:r w:rsidR="00287B53">
              <w:rPr>
                <w:sz w:val="20"/>
                <w:szCs w:val="20"/>
              </w:rPr>
              <w:t xml:space="preserve">locally advanced or </w:t>
            </w:r>
            <w:r>
              <w:rPr>
                <w:sz w:val="20"/>
                <w:szCs w:val="20"/>
              </w:rPr>
              <w:t>metastatic lung cancer until disease progression or unacceptable toxicity</w:t>
            </w:r>
            <w:r w:rsidR="00287B53">
              <w:rPr>
                <w:sz w:val="20"/>
                <w:szCs w:val="20"/>
              </w:rPr>
              <w:t xml:space="preserve"> due to TAGRISSO</w:t>
            </w:r>
            <w:r w:rsidR="00074823">
              <w:rPr>
                <w:sz w:val="20"/>
                <w:szCs w:val="20"/>
              </w:rPr>
              <w:t>.</w:t>
            </w:r>
          </w:p>
          <w:p w14:paraId="683FE656" w14:textId="7C8C0A47" w:rsidR="00073818" w:rsidRDefault="00332CDD" w:rsidP="008140D9">
            <w:pPr>
              <w:pStyle w:val="TableParagraph"/>
              <w:numPr>
                <w:ilvl w:val="0"/>
                <w:numId w:val="3"/>
              </w:numPr>
              <w:spacing w:before="40" w:line="242" w:lineRule="auto"/>
              <w:ind w:left="307" w:right="143" w:hanging="270"/>
              <w:rPr>
                <w:sz w:val="20"/>
                <w:szCs w:val="20"/>
              </w:rPr>
            </w:pPr>
            <w:r>
              <w:rPr>
                <w:sz w:val="20"/>
                <w:szCs w:val="20"/>
              </w:rPr>
              <w:t>TAGRISSO is also available as a 40-mg tablet</w:t>
            </w:r>
            <w:r w:rsidR="00074823">
              <w:rPr>
                <w:sz w:val="20"/>
                <w:szCs w:val="20"/>
              </w:rPr>
              <w:t>.</w:t>
            </w:r>
          </w:p>
          <w:p w14:paraId="71982DB7" w14:textId="5FE9D86E" w:rsidR="004A4647" w:rsidRDefault="004A4647" w:rsidP="004A4647">
            <w:pPr>
              <w:pStyle w:val="TableParagraph"/>
              <w:spacing w:before="40" w:line="242" w:lineRule="auto"/>
              <w:ind w:right="143"/>
              <w:rPr>
                <w:sz w:val="20"/>
                <w:szCs w:val="20"/>
              </w:rPr>
            </w:pPr>
          </w:p>
          <w:p w14:paraId="25961134" w14:textId="214D89CE" w:rsidR="004A4647" w:rsidRDefault="004A4647" w:rsidP="004A4647">
            <w:pPr>
              <w:pStyle w:val="TableParagraph"/>
              <w:spacing w:before="40" w:line="242" w:lineRule="auto"/>
              <w:ind w:right="143"/>
              <w:rPr>
                <w:sz w:val="20"/>
                <w:szCs w:val="20"/>
              </w:rPr>
            </w:pPr>
          </w:p>
          <w:p w14:paraId="301B120A" w14:textId="77777777" w:rsidR="004A4647" w:rsidRDefault="004A4647" w:rsidP="004A4647">
            <w:pPr>
              <w:pStyle w:val="TableParagraph"/>
              <w:spacing w:before="40" w:line="242" w:lineRule="auto"/>
              <w:ind w:right="143"/>
              <w:rPr>
                <w:sz w:val="20"/>
                <w:szCs w:val="20"/>
              </w:rPr>
            </w:pPr>
          </w:p>
          <w:p w14:paraId="1160945E" w14:textId="77777777" w:rsidR="004A4647" w:rsidRDefault="004A4647" w:rsidP="004A4647">
            <w:pPr>
              <w:pStyle w:val="TableParagraph"/>
              <w:spacing w:before="40" w:line="242" w:lineRule="auto"/>
              <w:ind w:right="143"/>
              <w:rPr>
                <w:sz w:val="20"/>
                <w:szCs w:val="20"/>
              </w:rPr>
            </w:pPr>
          </w:p>
          <w:p w14:paraId="4D54F335" w14:textId="77777777" w:rsidR="004A4647" w:rsidRDefault="004A4647" w:rsidP="004A4647">
            <w:pPr>
              <w:pStyle w:val="TableParagraph"/>
              <w:spacing w:before="40" w:line="242" w:lineRule="auto"/>
              <w:ind w:right="143"/>
              <w:rPr>
                <w:sz w:val="20"/>
                <w:szCs w:val="20"/>
              </w:rPr>
            </w:pPr>
          </w:p>
          <w:p w14:paraId="72F55E9F" w14:textId="77777777" w:rsidR="004A4647" w:rsidRDefault="004A4647" w:rsidP="004A4647">
            <w:pPr>
              <w:pStyle w:val="TableParagraph"/>
              <w:spacing w:before="40" w:line="242" w:lineRule="auto"/>
              <w:ind w:right="143"/>
              <w:rPr>
                <w:sz w:val="20"/>
                <w:szCs w:val="20"/>
              </w:rPr>
            </w:pPr>
          </w:p>
          <w:p w14:paraId="3A9DFCF0" w14:textId="77777777" w:rsidR="004A4647" w:rsidRDefault="004A4647" w:rsidP="004A4647">
            <w:pPr>
              <w:pStyle w:val="TableParagraph"/>
              <w:spacing w:before="40" w:line="242" w:lineRule="auto"/>
              <w:ind w:right="143"/>
              <w:rPr>
                <w:sz w:val="20"/>
                <w:szCs w:val="20"/>
              </w:rPr>
            </w:pPr>
          </w:p>
          <w:p w14:paraId="70EA4A72" w14:textId="1F5DDB3A" w:rsidR="004A4647" w:rsidRPr="00332CDD" w:rsidRDefault="004A4647" w:rsidP="00757EDB">
            <w:pPr>
              <w:pStyle w:val="TableParagraph"/>
              <w:spacing w:before="40" w:line="242" w:lineRule="auto"/>
              <w:ind w:right="143"/>
              <w:rPr>
                <w:sz w:val="20"/>
                <w:szCs w:val="20"/>
              </w:rPr>
            </w:pPr>
          </w:p>
        </w:tc>
        <w:tc>
          <w:tcPr>
            <w:tcW w:w="4500" w:type="dxa"/>
            <w:shd w:val="clear" w:color="auto" w:fill="F1F1F1"/>
            <w:tcMar>
              <w:left w:w="144" w:type="dxa"/>
              <w:right w:w="144" w:type="dxa"/>
            </w:tcMar>
          </w:tcPr>
          <w:p w14:paraId="57D1A82A" w14:textId="77777777" w:rsidR="009D73BC" w:rsidRPr="009D73BC" w:rsidRDefault="009D73BC" w:rsidP="009D73BC">
            <w:pPr>
              <w:pStyle w:val="TableParagraph"/>
              <w:numPr>
                <w:ilvl w:val="0"/>
                <w:numId w:val="3"/>
              </w:numPr>
              <w:spacing w:before="40"/>
              <w:ind w:left="307" w:right="301" w:hanging="270"/>
              <w:rPr>
                <w:sz w:val="20"/>
                <w:szCs w:val="20"/>
              </w:rPr>
            </w:pPr>
            <w:r w:rsidRPr="009D73BC">
              <w:rPr>
                <w:sz w:val="20"/>
                <w:szCs w:val="20"/>
              </w:rPr>
              <w:t>Before initiating TAGRISSO in combination with pemetrexed and platinum-based chemotherapy, conduct cardiac monitoring in all patients, including assessment of left ventricular ejection fraction (LVEF) </w:t>
            </w:r>
          </w:p>
          <w:p w14:paraId="212D2B3A" w14:textId="24E208AF" w:rsidR="009D73BC" w:rsidRPr="009D73BC" w:rsidRDefault="009D73BC" w:rsidP="009D73BC">
            <w:pPr>
              <w:pStyle w:val="TableParagraph"/>
              <w:numPr>
                <w:ilvl w:val="0"/>
                <w:numId w:val="3"/>
              </w:numPr>
              <w:spacing w:before="40"/>
              <w:ind w:left="307" w:right="301" w:hanging="270"/>
              <w:rPr>
                <w:sz w:val="20"/>
                <w:szCs w:val="20"/>
              </w:rPr>
            </w:pPr>
            <w:r w:rsidRPr="009D73BC">
              <w:rPr>
                <w:sz w:val="20"/>
                <w:szCs w:val="20"/>
              </w:rPr>
              <w:t>Before initiating TAGRISSO, perform complete blood count with differential</w:t>
            </w:r>
            <w:r w:rsidR="00DD0A77">
              <w:rPr>
                <w:sz w:val="20"/>
                <w:szCs w:val="20"/>
              </w:rPr>
              <w:t>.</w:t>
            </w:r>
          </w:p>
          <w:p w14:paraId="6736EC4D" w14:textId="4A0889EE" w:rsidR="00073818" w:rsidRPr="00A33FB5" w:rsidRDefault="002A3628" w:rsidP="008140D9">
            <w:pPr>
              <w:pStyle w:val="TableParagraph"/>
              <w:numPr>
                <w:ilvl w:val="0"/>
                <w:numId w:val="3"/>
              </w:numPr>
              <w:spacing w:before="40"/>
              <w:ind w:left="307" w:right="301" w:hanging="270"/>
              <w:rPr>
                <w:sz w:val="20"/>
                <w:szCs w:val="20"/>
              </w:rPr>
            </w:pPr>
            <w:r w:rsidRPr="00A33FB5">
              <w:rPr>
                <w:sz w:val="20"/>
                <w:szCs w:val="20"/>
              </w:rPr>
              <w:t xml:space="preserve">Instruct patients that if a dose of </w:t>
            </w:r>
            <w:r w:rsidR="00332CDD">
              <w:rPr>
                <w:sz w:val="20"/>
                <w:szCs w:val="20"/>
              </w:rPr>
              <w:t>TAGRISSO</w:t>
            </w:r>
            <w:r w:rsidRPr="00A33FB5">
              <w:rPr>
                <w:sz w:val="20"/>
                <w:szCs w:val="20"/>
              </w:rPr>
              <w:t xml:space="preserve"> is missed, </w:t>
            </w:r>
            <w:r w:rsidR="00332CDD">
              <w:rPr>
                <w:sz w:val="20"/>
                <w:szCs w:val="20"/>
              </w:rPr>
              <w:t xml:space="preserve">do not </w:t>
            </w:r>
            <w:r w:rsidRPr="00A33FB5">
              <w:rPr>
                <w:sz w:val="20"/>
                <w:szCs w:val="20"/>
              </w:rPr>
              <w:t>make up for the missed dose</w:t>
            </w:r>
            <w:r w:rsidR="00332CDD">
              <w:rPr>
                <w:sz w:val="20"/>
                <w:szCs w:val="20"/>
              </w:rPr>
              <w:t xml:space="preserve">.  Take </w:t>
            </w:r>
            <w:r w:rsidRPr="00A33FB5">
              <w:rPr>
                <w:sz w:val="20"/>
                <w:szCs w:val="20"/>
              </w:rPr>
              <w:t>the next dose as scheduled</w:t>
            </w:r>
            <w:r w:rsidR="006171A1">
              <w:rPr>
                <w:sz w:val="20"/>
                <w:szCs w:val="20"/>
              </w:rPr>
              <w:t>.</w:t>
            </w:r>
          </w:p>
          <w:p w14:paraId="3E262870" w14:textId="37265D49" w:rsidR="0032545C" w:rsidRPr="0032545C" w:rsidRDefault="0032545C" w:rsidP="008140D9">
            <w:pPr>
              <w:pStyle w:val="TableParagraph"/>
              <w:numPr>
                <w:ilvl w:val="0"/>
                <w:numId w:val="3"/>
              </w:numPr>
              <w:spacing w:before="41"/>
              <w:ind w:left="307" w:right="-143" w:hanging="270"/>
              <w:rPr>
                <w:sz w:val="20"/>
                <w:szCs w:val="20"/>
              </w:rPr>
            </w:pPr>
            <w:r w:rsidRPr="0032545C">
              <w:rPr>
                <w:sz w:val="20"/>
                <w:szCs w:val="20"/>
              </w:rPr>
              <w:t>For patients who have difficulty swallowing solids:</w:t>
            </w:r>
          </w:p>
          <w:p w14:paraId="58EA3311" w14:textId="35DA60B4" w:rsidR="0032545C" w:rsidRPr="0032545C" w:rsidRDefault="0032545C" w:rsidP="008140D9">
            <w:pPr>
              <w:pStyle w:val="TableParagraph"/>
              <w:numPr>
                <w:ilvl w:val="1"/>
                <w:numId w:val="3"/>
              </w:numPr>
              <w:spacing w:before="41"/>
              <w:ind w:left="487" w:right="-143" w:hanging="180"/>
              <w:rPr>
                <w:sz w:val="20"/>
                <w:szCs w:val="20"/>
              </w:rPr>
            </w:pPr>
            <w:r w:rsidRPr="0032545C">
              <w:rPr>
                <w:sz w:val="20"/>
                <w:szCs w:val="20"/>
              </w:rPr>
              <w:t>Disperse tablet in 60 mL (2 ounces) of noncarbonated water only. Stir until tablet is dispersed into small pieces (the tablet will not completely dissolve) and swallow immediately. Do not crush, heat, or ultrasonicate during preparation. Rinse the container with 120 mL to 240 mL (4 to 8 ounces) of water and immediately drink</w:t>
            </w:r>
            <w:r w:rsidR="00074823">
              <w:rPr>
                <w:sz w:val="20"/>
                <w:szCs w:val="20"/>
              </w:rPr>
              <w:t>.</w:t>
            </w:r>
          </w:p>
          <w:p w14:paraId="61C0CEC8" w14:textId="77777777" w:rsidR="0095162D" w:rsidRDefault="0032545C" w:rsidP="009D73BC">
            <w:pPr>
              <w:pStyle w:val="TableParagraph"/>
              <w:numPr>
                <w:ilvl w:val="1"/>
                <w:numId w:val="3"/>
              </w:numPr>
              <w:spacing w:before="41"/>
              <w:ind w:left="487" w:right="-143" w:hanging="180"/>
              <w:rPr>
                <w:sz w:val="20"/>
                <w:szCs w:val="20"/>
              </w:rPr>
            </w:pPr>
            <w:r w:rsidRPr="0032545C">
              <w:rPr>
                <w:sz w:val="20"/>
                <w:szCs w:val="20"/>
              </w:rPr>
              <w:t>If administration via nasogastric tube is required, disperse the tablet as above in 15 mL of noncarbonated water, and then use an additional 15 mL of water to transfer any residues to the syringe. The resulting 30 mL of liquid should be administered as per the nasogastric tube instructions with appropriate water flushes (approximately</w:t>
            </w:r>
            <w:r>
              <w:rPr>
                <w:sz w:val="20"/>
                <w:szCs w:val="20"/>
              </w:rPr>
              <w:t xml:space="preserve"> </w:t>
            </w:r>
            <w:r w:rsidRPr="0032545C">
              <w:rPr>
                <w:sz w:val="20"/>
                <w:szCs w:val="20"/>
              </w:rPr>
              <w:t>30 mL)</w:t>
            </w:r>
          </w:p>
          <w:p w14:paraId="0029C369" w14:textId="0134CD9E" w:rsidR="004A4647" w:rsidRPr="009D73BC" w:rsidRDefault="002A1031" w:rsidP="009D73BC">
            <w:pPr>
              <w:pStyle w:val="TableParagraph"/>
              <w:numPr>
                <w:ilvl w:val="1"/>
                <w:numId w:val="3"/>
              </w:numPr>
              <w:spacing w:before="41"/>
              <w:ind w:left="487" w:right="-143" w:hanging="180"/>
              <w:rPr>
                <w:sz w:val="20"/>
                <w:szCs w:val="20"/>
              </w:rPr>
            </w:pPr>
            <w:r w:rsidRPr="009D73BC">
              <w:rPr>
                <w:sz w:val="20"/>
                <w:szCs w:val="20"/>
              </w:rPr>
              <w:t>Store at 25°C (77°F), excursions permitted to 15°C to 30°C (59°F to 86°F) [see USP Controlled Room Temperature]</w:t>
            </w:r>
            <w:r w:rsidR="00E67584">
              <w:rPr>
                <w:sz w:val="20"/>
                <w:szCs w:val="20"/>
              </w:rPr>
              <w:t>.</w:t>
            </w:r>
          </w:p>
        </w:tc>
      </w:tr>
    </w:tbl>
    <w:p w14:paraId="1E9D3FFB" w14:textId="6600CE7E" w:rsidR="00073818" w:rsidRDefault="00073818">
      <w:pPr>
        <w:rPr>
          <w:sz w:val="20"/>
        </w:rPr>
        <w:sectPr w:rsidR="00073818" w:rsidSect="00942002">
          <w:footerReference w:type="default" r:id="rId12"/>
          <w:type w:val="continuous"/>
          <w:pgSz w:w="12240" w:h="15840"/>
          <w:pgMar w:top="720" w:right="720" w:bottom="720" w:left="720" w:header="720" w:footer="950" w:gutter="0"/>
          <w:pgNumType w:start="1"/>
          <w:cols w:space="720"/>
        </w:sectPr>
      </w:pPr>
    </w:p>
    <w:tbl>
      <w:tblPr>
        <w:tblpPr w:leftFromText="180" w:rightFromText="180" w:vertAnchor="page" w:horzAnchor="margin" w:tblpX="270" w:tblpY="1104"/>
        <w:tblW w:w="10170" w:type="dxa"/>
        <w:tblLayout w:type="fixed"/>
        <w:tblCellMar>
          <w:left w:w="0" w:type="dxa"/>
          <w:right w:w="0" w:type="dxa"/>
        </w:tblCellMar>
        <w:tblLook w:val="01E0" w:firstRow="1" w:lastRow="1" w:firstColumn="1" w:lastColumn="1" w:noHBand="0" w:noVBand="0"/>
      </w:tblPr>
      <w:tblGrid>
        <w:gridCol w:w="2700"/>
        <w:gridCol w:w="180"/>
        <w:gridCol w:w="6787"/>
        <w:gridCol w:w="503"/>
      </w:tblGrid>
      <w:tr w:rsidR="007D1AB4" w14:paraId="5A44D5B6" w14:textId="77777777" w:rsidTr="00DF25A1">
        <w:trPr>
          <w:gridAfter w:val="1"/>
          <w:wAfter w:w="503" w:type="dxa"/>
          <w:trHeight w:val="485"/>
        </w:trPr>
        <w:tc>
          <w:tcPr>
            <w:tcW w:w="2880" w:type="dxa"/>
            <w:gridSpan w:val="2"/>
            <w:tcMar>
              <w:left w:w="144" w:type="dxa"/>
              <w:right w:w="144" w:type="dxa"/>
            </w:tcMar>
          </w:tcPr>
          <w:p w14:paraId="11AC51B5" w14:textId="53FD1003" w:rsidR="007D1AB4" w:rsidRDefault="007D1AB4" w:rsidP="00D56F06">
            <w:pPr>
              <w:pStyle w:val="TableParagraph"/>
              <w:spacing w:line="202" w:lineRule="exact"/>
              <w:rPr>
                <w:b/>
                <w:sz w:val="20"/>
              </w:rPr>
            </w:pPr>
            <w:r>
              <w:rPr>
                <w:b/>
                <w:color w:val="DD8046"/>
                <w:sz w:val="20"/>
              </w:rPr>
              <w:lastRenderedPageBreak/>
              <w:t>Recommended Dos</w:t>
            </w:r>
            <w:r w:rsidR="00D645AD">
              <w:rPr>
                <w:b/>
                <w:color w:val="DD8046"/>
                <w:sz w:val="20"/>
              </w:rPr>
              <w:t>ag</w:t>
            </w:r>
            <w:r>
              <w:rPr>
                <w:b/>
                <w:color w:val="DD8046"/>
                <w:sz w:val="20"/>
              </w:rPr>
              <w:t>e</w:t>
            </w:r>
          </w:p>
          <w:p w14:paraId="1AC75836" w14:textId="4C90BFED" w:rsidR="007D1AB4" w:rsidRDefault="007D1AB4" w:rsidP="00280B80">
            <w:pPr>
              <w:pStyle w:val="TableParagraph"/>
              <w:spacing w:line="243" w:lineRule="exact"/>
              <w:ind w:left="-53"/>
              <w:rPr>
                <w:b/>
                <w:sz w:val="20"/>
              </w:rPr>
            </w:pPr>
            <w:r>
              <w:rPr>
                <w:b/>
                <w:color w:val="DD8046"/>
                <w:sz w:val="20"/>
              </w:rPr>
              <w:t>Modifications</w:t>
            </w:r>
          </w:p>
        </w:tc>
        <w:tc>
          <w:tcPr>
            <w:tcW w:w="6787" w:type="dxa"/>
            <w:tcMar>
              <w:left w:w="144" w:type="dxa"/>
              <w:right w:w="144" w:type="dxa"/>
            </w:tcMar>
          </w:tcPr>
          <w:p w14:paraId="6C8FBFB8" w14:textId="02DE84C6" w:rsidR="007D1AB4" w:rsidRDefault="007D1AB4" w:rsidP="00280B80">
            <w:pPr>
              <w:pStyle w:val="TableParagraph"/>
              <w:spacing w:before="6"/>
              <w:rPr>
                <w:b/>
                <w:sz w:val="16"/>
              </w:rPr>
            </w:pPr>
          </w:p>
          <w:p w14:paraId="61BAE735" w14:textId="594AEFE5" w:rsidR="007D1AB4" w:rsidRDefault="007D1AB4" w:rsidP="00280B80">
            <w:pPr>
              <w:pStyle w:val="TableParagraph"/>
              <w:ind w:left="-53"/>
              <w:rPr>
                <w:b/>
                <w:sz w:val="20"/>
              </w:rPr>
            </w:pPr>
            <w:r w:rsidRPr="00720072">
              <w:rPr>
                <w:b/>
                <w:color w:val="DD8046"/>
                <w:sz w:val="20"/>
              </w:rPr>
              <w:t>Comm</w:t>
            </w:r>
            <w:r>
              <w:rPr>
                <w:b/>
                <w:color w:val="DD8046"/>
                <w:sz w:val="20"/>
              </w:rPr>
              <w:t>ents</w:t>
            </w:r>
          </w:p>
        </w:tc>
      </w:tr>
      <w:tr w:rsidR="007D1AB4" w14:paraId="5FDEC613" w14:textId="77777777" w:rsidTr="00807307">
        <w:trPr>
          <w:trHeight w:val="7339"/>
        </w:trPr>
        <w:tc>
          <w:tcPr>
            <w:tcW w:w="2700" w:type="dxa"/>
            <w:shd w:val="clear" w:color="auto" w:fill="F1F1F1"/>
            <w:tcMar>
              <w:left w:w="144" w:type="dxa"/>
              <w:right w:w="144" w:type="dxa"/>
            </w:tcMar>
          </w:tcPr>
          <w:p w14:paraId="1DC791D1" w14:textId="1DEDC8F7" w:rsidR="007D1AB4" w:rsidRPr="000A781D" w:rsidRDefault="007D1AB4" w:rsidP="00280B80">
            <w:pPr>
              <w:pStyle w:val="TableParagraph"/>
              <w:spacing w:before="40"/>
              <w:ind w:right="127"/>
              <w:rPr>
                <w:b/>
                <w:bCs/>
                <w:sz w:val="20"/>
              </w:rPr>
            </w:pPr>
            <w:r w:rsidRPr="000A781D">
              <w:rPr>
                <w:b/>
                <w:bCs/>
                <w:sz w:val="20"/>
              </w:rPr>
              <w:t>Please see complete Prescribing Information for additional</w:t>
            </w:r>
          </w:p>
          <w:p w14:paraId="0C31CB95" w14:textId="3E86E189" w:rsidR="007D1AB4" w:rsidRPr="007D1AB4" w:rsidRDefault="007D1AB4" w:rsidP="00280B80">
            <w:pPr>
              <w:pStyle w:val="TableParagraph"/>
              <w:spacing w:before="1"/>
              <w:rPr>
                <w:sz w:val="20"/>
              </w:rPr>
            </w:pPr>
            <w:r w:rsidRPr="000A781D">
              <w:rPr>
                <w:b/>
                <w:bCs/>
                <w:sz w:val="20"/>
              </w:rPr>
              <w:t>information.</w:t>
            </w:r>
          </w:p>
        </w:tc>
        <w:tc>
          <w:tcPr>
            <w:tcW w:w="7470" w:type="dxa"/>
            <w:gridSpan w:val="3"/>
            <w:shd w:val="clear" w:color="auto" w:fill="F1F1F1"/>
            <w:tcMar>
              <w:left w:w="144" w:type="dxa"/>
              <w:right w:w="144" w:type="dxa"/>
            </w:tcMar>
          </w:tcPr>
          <w:p w14:paraId="5EEEB1C6" w14:textId="314F2CDE" w:rsidR="00C75B56" w:rsidRPr="00C75B56" w:rsidRDefault="00C75B56" w:rsidP="00C75B56">
            <w:pPr>
              <w:pStyle w:val="TableParagraph"/>
              <w:spacing w:before="40"/>
              <w:ind w:left="130"/>
              <w:rPr>
                <w:bCs/>
                <w:sz w:val="20"/>
              </w:rPr>
            </w:pPr>
            <w:r w:rsidRPr="00C75B56">
              <w:rPr>
                <w:bCs/>
                <w:sz w:val="20"/>
              </w:rPr>
              <w:t xml:space="preserve">When TAGRISSO is </w:t>
            </w:r>
            <w:r w:rsidR="006C4D1F">
              <w:rPr>
                <w:bCs/>
                <w:sz w:val="20"/>
              </w:rPr>
              <w:t>administered</w:t>
            </w:r>
            <w:r w:rsidRPr="00C75B56">
              <w:rPr>
                <w:bCs/>
                <w:sz w:val="20"/>
              </w:rPr>
              <w:t xml:space="preserve"> in combination with pemetrexed and platinum-based chemotherapy,</w:t>
            </w:r>
            <w:r w:rsidR="00CF1153">
              <w:rPr>
                <w:bCs/>
                <w:sz w:val="20"/>
              </w:rPr>
              <w:t xml:space="preserve"> modify the dose of any one of the treatments for the </w:t>
            </w:r>
            <w:r w:rsidR="00D0694D">
              <w:rPr>
                <w:bCs/>
                <w:sz w:val="20"/>
              </w:rPr>
              <w:t>managements of adverse reactions, as appropriate</w:t>
            </w:r>
            <w:r w:rsidRPr="00C75B56">
              <w:rPr>
                <w:bCs/>
                <w:sz w:val="20"/>
              </w:rPr>
              <w:t xml:space="preserve">. For TAGRISSO dose modification instructions, see below. </w:t>
            </w:r>
            <w:r w:rsidR="00D0694D">
              <w:rPr>
                <w:bCs/>
                <w:sz w:val="20"/>
              </w:rPr>
              <w:t>Withhold</w:t>
            </w:r>
            <w:r w:rsidR="00A22FC5">
              <w:rPr>
                <w:bCs/>
                <w:sz w:val="20"/>
              </w:rPr>
              <w:t>, reduce</w:t>
            </w:r>
            <w:r w:rsidR="00D0694D">
              <w:rPr>
                <w:bCs/>
                <w:sz w:val="20"/>
              </w:rPr>
              <w:t xml:space="preserve"> the </w:t>
            </w:r>
            <w:proofErr w:type="gramStart"/>
            <w:r w:rsidR="00D0694D">
              <w:rPr>
                <w:bCs/>
                <w:sz w:val="20"/>
              </w:rPr>
              <w:t>dose</w:t>
            </w:r>
            <w:proofErr w:type="gramEnd"/>
            <w:r w:rsidR="00D0694D">
              <w:rPr>
                <w:bCs/>
                <w:sz w:val="20"/>
              </w:rPr>
              <w:t xml:space="preserve"> </w:t>
            </w:r>
            <w:r w:rsidR="00A22FC5">
              <w:rPr>
                <w:bCs/>
                <w:sz w:val="20"/>
              </w:rPr>
              <w:t>or permanently discontinue</w:t>
            </w:r>
            <w:r w:rsidR="00D0694D">
              <w:rPr>
                <w:bCs/>
                <w:sz w:val="20"/>
              </w:rPr>
              <w:t xml:space="preserve"> </w:t>
            </w:r>
            <w:r w:rsidR="009B3F2E">
              <w:rPr>
                <w:bCs/>
                <w:sz w:val="20"/>
              </w:rPr>
              <w:t>p</w:t>
            </w:r>
            <w:r w:rsidRPr="00C75B56">
              <w:rPr>
                <w:bCs/>
                <w:sz w:val="20"/>
              </w:rPr>
              <w:t>emetrexed, cisplatin or carboplatin accord</w:t>
            </w:r>
            <w:r w:rsidR="009B3F2E">
              <w:rPr>
                <w:bCs/>
                <w:sz w:val="20"/>
              </w:rPr>
              <w:t>ing</w:t>
            </w:r>
            <w:r w:rsidRPr="00C75B56">
              <w:rPr>
                <w:bCs/>
                <w:sz w:val="20"/>
              </w:rPr>
              <w:t xml:space="preserve"> </w:t>
            </w:r>
            <w:r w:rsidR="009B3F2E">
              <w:rPr>
                <w:bCs/>
                <w:sz w:val="20"/>
              </w:rPr>
              <w:t xml:space="preserve">to their respective </w:t>
            </w:r>
            <w:r w:rsidRPr="00C75B56">
              <w:rPr>
                <w:bCs/>
                <w:sz w:val="20"/>
              </w:rPr>
              <w:t>Prescribing Informatio</w:t>
            </w:r>
            <w:r w:rsidR="009B3F2E">
              <w:rPr>
                <w:bCs/>
                <w:sz w:val="20"/>
              </w:rPr>
              <w:t>n</w:t>
            </w:r>
            <w:r w:rsidRPr="00C75B56">
              <w:rPr>
                <w:bCs/>
                <w:sz w:val="20"/>
              </w:rPr>
              <w:t>.</w:t>
            </w:r>
          </w:p>
          <w:p w14:paraId="1CEEC488" w14:textId="44865DF6" w:rsidR="00C75B56" w:rsidRDefault="00C75B56" w:rsidP="000051BA">
            <w:pPr>
              <w:pStyle w:val="TableParagraph"/>
              <w:spacing w:before="40"/>
              <w:ind w:left="130"/>
              <w:rPr>
                <w:b/>
                <w:sz w:val="20"/>
              </w:rPr>
            </w:pPr>
          </w:p>
          <w:p w14:paraId="6D5BBFA2" w14:textId="2BD67FB9" w:rsidR="007D1AB4" w:rsidRDefault="007D1AB4" w:rsidP="000051BA">
            <w:pPr>
              <w:pStyle w:val="TableParagraph"/>
              <w:spacing w:before="40"/>
              <w:ind w:left="130"/>
              <w:rPr>
                <w:b/>
                <w:sz w:val="20"/>
              </w:rPr>
            </w:pPr>
            <w:r>
              <w:rPr>
                <w:b/>
                <w:sz w:val="20"/>
              </w:rPr>
              <w:t>Dos</w:t>
            </w:r>
            <w:r w:rsidR="00D645AD">
              <w:rPr>
                <w:b/>
                <w:sz w:val="20"/>
              </w:rPr>
              <w:t>ag</w:t>
            </w:r>
            <w:r>
              <w:rPr>
                <w:b/>
                <w:sz w:val="20"/>
              </w:rPr>
              <w:t>e modifications for adverse reactions (ARs)</w:t>
            </w:r>
          </w:p>
          <w:p w14:paraId="73D3A601" w14:textId="3EF9AC23" w:rsidR="007D1AB4" w:rsidRPr="00720072" w:rsidRDefault="007D1AB4" w:rsidP="00280B80">
            <w:pPr>
              <w:pStyle w:val="TableParagraph"/>
              <w:spacing w:before="41"/>
              <w:ind w:left="127"/>
              <w:rPr>
                <w:b/>
                <w:color w:val="DD8046"/>
                <w:sz w:val="20"/>
              </w:rPr>
            </w:pPr>
            <w:r w:rsidRPr="00720072">
              <w:rPr>
                <w:b/>
                <w:color w:val="DD8046"/>
                <w:sz w:val="20"/>
              </w:rPr>
              <w:t>Pulmonary</w:t>
            </w:r>
          </w:p>
          <w:p w14:paraId="199473D2" w14:textId="0313701D" w:rsidR="007D1AB4" w:rsidRDefault="007D1AB4" w:rsidP="00126FC0">
            <w:pPr>
              <w:pStyle w:val="TableParagraph"/>
              <w:numPr>
                <w:ilvl w:val="0"/>
                <w:numId w:val="6"/>
              </w:numPr>
              <w:spacing w:before="40" w:after="120"/>
              <w:ind w:left="397" w:right="-144" w:hanging="274"/>
              <w:rPr>
                <w:sz w:val="20"/>
              </w:rPr>
            </w:pPr>
            <w:r w:rsidRPr="00720072">
              <w:rPr>
                <w:sz w:val="20"/>
                <w:u w:val="single"/>
              </w:rPr>
              <w:t>Interstitial lung disease</w:t>
            </w:r>
            <w:r w:rsidR="00C60679">
              <w:rPr>
                <w:sz w:val="20"/>
                <w:u w:val="single"/>
              </w:rPr>
              <w:t xml:space="preserve"> </w:t>
            </w:r>
            <w:r w:rsidR="00D645AD" w:rsidRPr="00720072">
              <w:rPr>
                <w:sz w:val="20"/>
                <w:u w:val="single"/>
              </w:rPr>
              <w:t>(ILD)</w:t>
            </w:r>
            <w:r w:rsidRPr="00720072">
              <w:rPr>
                <w:sz w:val="20"/>
                <w:u w:val="single"/>
              </w:rPr>
              <w:t>/pneumonitis</w:t>
            </w:r>
            <w:r>
              <w:rPr>
                <w:sz w:val="20"/>
              </w:rPr>
              <w:t>: permanently discontinue</w:t>
            </w:r>
            <w:r>
              <w:rPr>
                <w:spacing w:val="-34"/>
                <w:sz w:val="20"/>
              </w:rPr>
              <w:t xml:space="preserve"> </w:t>
            </w:r>
            <w:r w:rsidR="00D93CE4">
              <w:rPr>
                <w:spacing w:val="-34"/>
                <w:sz w:val="20"/>
              </w:rPr>
              <w:t xml:space="preserve">  </w:t>
            </w:r>
            <w:r>
              <w:rPr>
                <w:sz w:val="20"/>
              </w:rPr>
              <w:t>TAGRISSO</w:t>
            </w:r>
            <w:r w:rsidR="00E67584">
              <w:rPr>
                <w:sz w:val="20"/>
              </w:rPr>
              <w:t>.</w:t>
            </w:r>
          </w:p>
          <w:p w14:paraId="6F2BF1B7" w14:textId="6C3C4A62" w:rsidR="007D1AB4" w:rsidRPr="00720072" w:rsidRDefault="007D1AB4" w:rsidP="00280B80">
            <w:pPr>
              <w:pStyle w:val="TableParagraph"/>
              <w:ind w:left="130" w:right="130"/>
              <w:rPr>
                <w:b/>
                <w:bCs/>
                <w:color w:val="DD8046"/>
                <w:sz w:val="20"/>
              </w:rPr>
            </w:pPr>
            <w:r w:rsidRPr="00720072">
              <w:rPr>
                <w:b/>
                <w:bCs/>
                <w:color w:val="DD8046"/>
                <w:sz w:val="20"/>
              </w:rPr>
              <w:t>Cardiac</w:t>
            </w:r>
          </w:p>
          <w:p w14:paraId="03E4DCB1" w14:textId="1BC0AD8D" w:rsidR="007D1AB4" w:rsidRPr="00B44743" w:rsidRDefault="007D1AB4" w:rsidP="006D16B6">
            <w:pPr>
              <w:pStyle w:val="TableParagraph"/>
              <w:numPr>
                <w:ilvl w:val="0"/>
                <w:numId w:val="6"/>
              </w:numPr>
              <w:spacing w:before="40"/>
              <w:ind w:left="404" w:right="-144" w:hanging="274"/>
              <w:rPr>
                <w:sz w:val="20"/>
              </w:rPr>
            </w:pPr>
            <w:r w:rsidRPr="00720072">
              <w:rPr>
                <w:sz w:val="20"/>
                <w:u w:val="single"/>
              </w:rPr>
              <w:t xml:space="preserve">QTc interval </w:t>
            </w:r>
            <w:r w:rsidR="00DC537F">
              <w:rPr>
                <w:sz w:val="20"/>
                <w:u w:val="single"/>
              </w:rPr>
              <w:t>&gt;</w:t>
            </w:r>
            <w:r w:rsidRPr="00720072">
              <w:rPr>
                <w:sz w:val="20"/>
                <w:u w:val="single"/>
              </w:rPr>
              <w:t>500 msec on at least 2 separate ECGs</w:t>
            </w:r>
            <w:r w:rsidRPr="00B44743">
              <w:rPr>
                <w:sz w:val="20"/>
              </w:rPr>
              <w:t xml:space="preserve">: </w:t>
            </w:r>
            <w:proofErr w:type="gramStart"/>
            <w:r w:rsidRPr="00B44743">
              <w:rPr>
                <w:sz w:val="20"/>
              </w:rPr>
              <w:t>withhold</w:t>
            </w:r>
            <w:r w:rsidRPr="00B44743">
              <w:rPr>
                <w:spacing w:val="-29"/>
                <w:sz w:val="20"/>
              </w:rPr>
              <w:t xml:space="preserve"> </w:t>
            </w:r>
            <w:r w:rsidR="00A21DF1">
              <w:rPr>
                <w:spacing w:val="-29"/>
                <w:sz w:val="20"/>
              </w:rPr>
              <w:t xml:space="preserve"> </w:t>
            </w:r>
            <w:r w:rsidRPr="00B44743">
              <w:rPr>
                <w:sz w:val="20"/>
              </w:rPr>
              <w:t>TAGRISSO</w:t>
            </w:r>
            <w:proofErr w:type="gramEnd"/>
            <w:r w:rsidRPr="00B44743">
              <w:rPr>
                <w:sz w:val="20"/>
              </w:rPr>
              <w:t xml:space="preserve"> until QTc interval is &lt;481 msec or recovery to baseline if baseline QTc </w:t>
            </w:r>
            <w:r w:rsidRPr="00B44743">
              <w:rPr>
                <w:spacing w:val="-27"/>
                <w:sz w:val="20"/>
              </w:rPr>
              <w:t xml:space="preserve"> </w:t>
            </w:r>
            <w:r w:rsidRPr="00B44743">
              <w:rPr>
                <w:sz w:val="20"/>
              </w:rPr>
              <w:t xml:space="preserve">is ≥481 msec, then resume </w:t>
            </w:r>
            <w:r>
              <w:rPr>
                <w:sz w:val="20"/>
              </w:rPr>
              <w:t xml:space="preserve">at </w:t>
            </w:r>
            <w:r w:rsidRPr="00B44743">
              <w:rPr>
                <w:sz w:val="20"/>
              </w:rPr>
              <w:t>40-mg dose</w:t>
            </w:r>
            <w:r w:rsidR="00E67584">
              <w:rPr>
                <w:sz w:val="20"/>
              </w:rPr>
              <w:t>.</w:t>
            </w:r>
          </w:p>
          <w:p w14:paraId="7DF3124B" w14:textId="2C8DE974" w:rsidR="007D1AB4" w:rsidRDefault="007D1AB4" w:rsidP="006D16B6">
            <w:pPr>
              <w:pStyle w:val="TableParagraph"/>
              <w:numPr>
                <w:ilvl w:val="0"/>
                <w:numId w:val="6"/>
              </w:numPr>
              <w:spacing w:before="40"/>
              <w:ind w:left="404" w:right="-144" w:hanging="274"/>
              <w:rPr>
                <w:sz w:val="20"/>
              </w:rPr>
            </w:pPr>
            <w:r w:rsidRPr="00720072">
              <w:rPr>
                <w:sz w:val="20"/>
                <w:u w:val="single"/>
              </w:rPr>
              <w:t>QTc interval prolongation with signs/symptoms of life-threatening arrhythmia</w:t>
            </w:r>
            <w:r>
              <w:rPr>
                <w:sz w:val="20"/>
              </w:rPr>
              <w:t>: permanently discontinue</w:t>
            </w:r>
            <w:r>
              <w:rPr>
                <w:spacing w:val="-3"/>
                <w:sz w:val="20"/>
              </w:rPr>
              <w:t xml:space="preserve"> </w:t>
            </w:r>
            <w:r>
              <w:rPr>
                <w:sz w:val="20"/>
              </w:rPr>
              <w:t>TAGRISSO</w:t>
            </w:r>
            <w:r w:rsidR="00443A59">
              <w:rPr>
                <w:sz w:val="20"/>
              </w:rPr>
              <w:t>.</w:t>
            </w:r>
          </w:p>
          <w:p w14:paraId="7111B696" w14:textId="5B41C63B" w:rsidR="007D1AB4" w:rsidRDefault="007D1AB4" w:rsidP="006D16B6">
            <w:pPr>
              <w:pStyle w:val="TableParagraph"/>
              <w:numPr>
                <w:ilvl w:val="0"/>
                <w:numId w:val="6"/>
              </w:numPr>
              <w:spacing w:before="40" w:after="120"/>
              <w:ind w:left="404" w:right="-144" w:hanging="274"/>
              <w:rPr>
                <w:sz w:val="20"/>
              </w:rPr>
            </w:pPr>
            <w:r w:rsidRPr="00720072">
              <w:rPr>
                <w:sz w:val="20"/>
                <w:u w:val="single"/>
              </w:rPr>
              <w:t>Symptomatic congestive heart failure</w:t>
            </w:r>
            <w:r>
              <w:rPr>
                <w:sz w:val="20"/>
              </w:rPr>
              <w:t>: permanently</w:t>
            </w:r>
            <w:r>
              <w:rPr>
                <w:spacing w:val="-27"/>
                <w:sz w:val="20"/>
              </w:rPr>
              <w:t xml:space="preserve"> </w:t>
            </w:r>
            <w:r>
              <w:rPr>
                <w:sz w:val="20"/>
              </w:rPr>
              <w:t>discontinue TAGRISSO</w:t>
            </w:r>
            <w:r w:rsidR="00443A59">
              <w:rPr>
                <w:sz w:val="20"/>
              </w:rPr>
              <w:t>.</w:t>
            </w:r>
          </w:p>
          <w:p w14:paraId="4F9695B2" w14:textId="06C31C40" w:rsidR="007D1AB4" w:rsidRPr="00720072" w:rsidRDefault="007D1AB4" w:rsidP="00280B80">
            <w:pPr>
              <w:pStyle w:val="TableParagraph"/>
              <w:ind w:left="144"/>
              <w:rPr>
                <w:b/>
                <w:bCs/>
                <w:color w:val="DD8046"/>
                <w:sz w:val="20"/>
              </w:rPr>
            </w:pPr>
            <w:r w:rsidRPr="00720072">
              <w:rPr>
                <w:b/>
                <w:bCs/>
                <w:color w:val="DD8046"/>
                <w:sz w:val="20"/>
              </w:rPr>
              <w:t>Cutaneous</w:t>
            </w:r>
          </w:p>
          <w:p w14:paraId="5EF9BB95" w14:textId="77B44008" w:rsidR="007D1AB4" w:rsidRDefault="007D1AB4" w:rsidP="006D16B6">
            <w:pPr>
              <w:pStyle w:val="TableParagraph"/>
              <w:numPr>
                <w:ilvl w:val="0"/>
                <w:numId w:val="7"/>
              </w:numPr>
              <w:spacing w:before="40" w:after="120"/>
              <w:ind w:left="404" w:hanging="274"/>
              <w:rPr>
                <w:sz w:val="20"/>
              </w:rPr>
            </w:pPr>
            <w:r w:rsidRPr="00720072">
              <w:rPr>
                <w:sz w:val="20"/>
                <w:u w:val="single"/>
              </w:rPr>
              <w:t>Stevens-Johnson syndrome (SJS), Erythema Multiforme Major (EMM)</w:t>
            </w:r>
            <w:r w:rsidR="00DA6CC6">
              <w:rPr>
                <w:sz w:val="20"/>
                <w:u w:val="single"/>
              </w:rPr>
              <w:t xml:space="preserve"> and Toxic Epidermal </w:t>
            </w:r>
            <w:r w:rsidR="00474EBC">
              <w:rPr>
                <w:sz w:val="20"/>
                <w:u w:val="single"/>
              </w:rPr>
              <w:t>Necrolysis (TEN)</w:t>
            </w:r>
            <w:r>
              <w:rPr>
                <w:sz w:val="20"/>
              </w:rPr>
              <w:t xml:space="preserve">: withhold TAGRISSO if suspected and permanently discontinue if </w:t>
            </w:r>
            <w:r w:rsidR="00E23712">
              <w:rPr>
                <w:sz w:val="20"/>
              </w:rPr>
              <w:t>confirmed.</w:t>
            </w:r>
          </w:p>
          <w:p w14:paraId="7E02AC9B" w14:textId="68D34FE2" w:rsidR="00067A22" w:rsidRPr="00D54C3B" w:rsidRDefault="00BC397E" w:rsidP="00280B80">
            <w:pPr>
              <w:pStyle w:val="TableParagraph"/>
              <w:ind w:left="144"/>
              <w:rPr>
                <w:b/>
                <w:bCs/>
                <w:color w:val="DD8046"/>
                <w:sz w:val="20"/>
              </w:rPr>
            </w:pPr>
            <w:r w:rsidRPr="00D54C3B">
              <w:rPr>
                <w:b/>
                <w:bCs/>
                <w:color w:val="DD8046"/>
                <w:sz w:val="20"/>
              </w:rPr>
              <w:t>Blood and Bone Marrow</w:t>
            </w:r>
          </w:p>
          <w:p w14:paraId="55A212A0" w14:textId="654DF2C5" w:rsidR="00832B25" w:rsidRDefault="00E31C7E" w:rsidP="004C1648">
            <w:pPr>
              <w:pStyle w:val="TableParagraph"/>
              <w:numPr>
                <w:ilvl w:val="0"/>
                <w:numId w:val="6"/>
              </w:numPr>
              <w:spacing w:before="40"/>
              <w:ind w:left="403" w:right="-58" w:hanging="259"/>
              <w:rPr>
                <w:sz w:val="20"/>
              </w:rPr>
            </w:pPr>
            <w:r w:rsidRPr="004C1648">
              <w:rPr>
                <w:sz w:val="20"/>
                <w:u w:val="single"/>
              </w:rPr>
              <w:t>Aplastic Anemia</w:t>
            </w:r>
            <w:r>
              <w:rPr>
                <w:sz w:val="20"/>
              </w:rPr>
              <w:t>: With</w:t>
            </w:r>
            <w:r w:rsidR="00FD27E3">
              <w:rPr>
                <w:sz w:val="20"/>
              </w:rPr>
              <w:t>hold TAGRISSO if suspected and permanently discontinue if confirmed</w:t>
            </w:r>
            <w:r w:rsidR="009036E6">
              <w:rPr>
                <w:sz w:val="20"/>
              </w:rPr>
              <w:t>.</w:t>
            </w:r>
          </w:p>
          <w:p w14:paraId="273EF7AE" w14:textId="5EFCA351" w:rsidR="006108E1" w:rsidRPr="006108E1" w:rsidRDefault="006108E1" w:rsidP="006108E1">
            <w:pPr>
              <w:pStyle w:val="TableParagraph"/>
              <w:spacing w:before="40"/>
              <w:ind w:left="403" w:right="-58"/>
              <w:rPr>
                <w:sz w:val="20"/>
              </w:rPr>
            </w:pPr>
          </w:p>
          <w:p w14:paraId="2D9E2EE1" w14:textId="596D06B8" w:rsidR="007D1AB4" w:rsidRPr="00D54C3B" w:rsidRDefault="007D1AB4" w:rsidP="00280B80">
            <w:pPr>
              <w:pStyle w:val="TableParagraph"/>
              <w:ind w:left="144"/>
              <w:rPr>
                <w:b/>
                <w:bCs/>
                <w:color w:val="DD8046"/>
                <w:sz w:val="20"/>
              </w:rPr>
            </w:pPr>
            <w:r w:rsidRPr="00D54C3B">
              <w:rPr>
                <w:b/>
                <w:bCs/>
                <w:color w:val="DD8046"/>
                <w:sz w:val="20"/>
              </w:rPr>
              <w:t>Other</w:t>
            </w:r>
          </w:p>
          <w:p w14:paraId="287928DC" w14:textId="7A674CA0" w:rsidR="007D1AB4" w:rsidRDefault="007D1AB4" w:rsidP="006D16B6">
            <w:pPr>
              <w:pStyle w:val="TableParagraph"/>
              <w:numPr>
                <w:ilvl w:val="0"/>
                <w:numId w:val="6"/>
              </w:numPr>
              <w:spacing w:before="40"/>
              <w:ind w:left="403" w:right="-58" w:hanging="259"/>
              <w:rPr>
                <w:sz w:val="20"/>
              </w:rPr>
            </w:pPr>
            <w:r>
              <w:rPr>
                <w:sz w:val="20"/>
              </w:rPr>
              <w:t>AR of Grade 3 or greater severity: withhold TAGRISSO for up to 3</w:t>
            </w:r>
            <w:r>
              <w:rPr>
                <w:spacing w:val="-15"/>
                <w:sz w:val="20"/>
              </w:rPr>
              <w:t xml:space="preserve"> </w:t>
            </w:r>
            <w:r>
              <w:rPr>
                <w:sz w:val="20"/>
              </w:rPr>
              <w:t>weeks</w:t>
            </w:r>
            <w:r w:rsidR="009036E6">
              <w:rPr>
                <w:sz w:val="20"/>
              </w:rPr>
              <w:t>.</w:t>
            </w:r>
          </w:p>
          <w:p w14:paraId="4B213F76" w14:textId="44B7121A" w:rsidR="007D1AB4" w:rsidRDefault="007D1AB4" w:rsidP="006D16B6">
            <w:pPr>
              <w:pStyle w:val="TableParagraph"/>
              <w:numPr>
                <w:ilvl w:val="0"/>
                <w:numId w:val="6"/>
              </w:numPr>
              <w:tabs>
                <w:tab w:val="left" w:pos="508"/>
                <w:tab w:val="left" w:pos="509"/>
              </w:tabs>
              <w:spacing w:before="40"/>
              <w:ind w:left="403" w:right="-143" w:hanging="259"/>
              <w:rPr>
                <w:sz w:val="20"/>
              </w:rPr>
            </w:pPr>
            <w:r>
              <w:rPr>
                <w:sz w:val="20"/>
              </w:rPr>
              <w:t>If improvement to Grade 0-2 within 3 weeks: resume at 80 mg or 40 mg daily</w:t>
            </w:r>
            <w:r w:rsidR="009036E6">
              <w:rPr>
                <w:sz w:val="20"/>
              </w:rPr>
              <w:t>.</w:t>
            </w:r>
          </w:p>
          <w:p w14:paraId="558C6CE7" w14:textId="048AC0E8" w:rsidR="007D1AB4" w:rsidRDefault="007D1AB4" w:rsidP="000A7BF6">
            <w:pPr>
              <w:pStyle w:val="TableParagraph"/>
              <w:numPr>
                <w:ilvl w:val="0"/>
                <w:numId w:val="6"/>
              </w:numPr>
              <w:spacing w:before="40" w:after="120"/>
              <w:ind w:left="403" w:hanging="259"/>
              <w:rPr>
                <w:sz w:val="20"/>
              </w:rPr>
            </w:pPr>
            <w:r>
              <w:rPr>
                <w:sz w:val="20"/>
              </w:rPr>
              <w:t>If no improvement within 3 weeks: permanently discontinue</w:t>
            </w:r>
            <w:r>
              <w:rPr>
                <w:spacing w:val="-15"/>
                <w:sz w:val="20"/>
              </w:rPr>
              <w:t xml:space="preserve"> </w:t>
            </w:r>
            <w:r>
              <w:rPr>
                <w:sz w:val="20"/>
              </w:rPr>
              <w:t>TAGRISSO</w:t>
            </w:r>
            <w:r w:rsidR="009036E6">
              <w:rPr>
                <w:sz w:val="20"/>
              </w:rPr>
              <w:t>.</w:t>
            </w:r>
          </w:p>
          <w:p w14:paraId="760B5D3C" w14:textId="269D2553" w:rsidR="007D1AB4" w:rsidRDefault="007D1AB4" w:rsidP="00280B80">
            <w:pPr>
              <w:pStyle w:val="TableParagraph"/>
              <w:spacing w:line="278" w:lineRule="auto"/>
              <w:ind w:left="127" w:right="-143" w:hanging="15"/>
              <w:rPr>
                <w:sz w:val="16"/>
              </w:rPr>
            </w:pPr>
            <w:r>
              <w:rPr>
                <w:sz w:val="16"/>
              </w:rPr>
              <w:t>ARs graded by the National Cancer Institute Common Terminology Criteria for Adverse Events version 4.0.</w:t>
            </w:r>
          </w:p>
          <w:p w14:paraId="2D04C162" w14:textId="2DB17A40" w:rsidR="007D1AB4" w:rsidRDefault="007D1AB4" w:rsidP="00280B80">
            <w:pPr>
              <w:pStyle w:val="TableParagraph"/>
              <w:spacing w:line="191" w:lineRule="exact"/>
              <w:ind w:left="127"/>
              <w:rPr>
                <w:sz w:val="16"/>
              </w:rPr>
            </w:pPr>
            <w:r>
              <w:rPr>
                <w:sz w:val="16"/>
              </w:rPr>
              <w:t>QTc=QT interval corrected for heart rate; ECG=electrocardiogram</w:t>
            </w:r>
            <w:r w:rsidR="00013984">
              <w:rPr>
                <w:sz w:val="16"/>
              </w:rPr>
              <w:t>.</w:t>
            </w:r>
          </w:p>
          <w:p w14:paraId="4B37E229" w14:textId="5C2615DE" w:rsidR="006D16B6" w:rsidRDefault="006D16B6" w:rsidP="00280B80">
            <w:pPr>
              <w:pStyle w:val="TableParagraph"/>
              <w:spacing w:line="191" w:lineRule="exact"/>
              <w:ind w:left="127"/>
              <w:rPr>
                <w:sz w:val="16"/>
              </w:rPr>
            </w:pPr>
          </w:p>
          <w:p w14:paraId="34A291C2" w14:textId="0F90FDB6" w:rsidR="006D16B6" w:rsidRDefault="006D16B6" w:rsidP="00280B80">
            <w:pPr>
              <w:pStyle w:val="TableParagraph"/>
              <w:spacing w:line="191" w:lineRule="exact"/>
              <w:ind w:left="127"/>
              <w:rPr>
                <w:b/>
                <w:sz w:val="20"/>
              </w:rPr>
            </w:pPr>
            <w:r>
              <w:rPr>
                <w:b/>
                <w:sz w:val="20"/>
              </w:rPr>
              <w:t xml:space="preserve">Dosage modifications for </w:t>
            </w:r>
            <w:r w:rsidR="000051BA">
              <w:rPr>
                <w:b/>
                <w:sz w:val="20"/>
              </w:rPr>
              <w:t>use with strong CYP3A4 inducers</w:t>
            </w:r>
          </w:p>
          <w:p w14:paraId="4385BDC0" w14:textId="69017C94" w:rsidR="000051BA" w:rsidRPr="008F1865" w:rsidRDefault="000051BA" w:rsidP="000051BA">
            <w:pPr>
              <w:pStyle w:val="TableParagraph"/>
              <w:numPr>
                <w:ilvl w:val="0"/>
                <w:numId w:val="19"/>
              </w:numPr>
              <w:spacing w:before="40"/>
              <w:ind w:left="397" w:hanging="270"/>
              <w:rPr>
                <w:bCs/>
                <w:sz w:val="16"/>
              </w:rPr>
            </w:pPr>
            <w:r>
              <w:rPr>
                <w:sz w:val="20"/>
              </w:rPr>
              <w:t xml:space="preserve">Avoid co-administering TAGRISSO with strong CYP3A inducers. </w:t>
            </w:r>
          </w:p>
          <w:p w14:paraId="7B9B2382" w14:textId="433F008C" w:rsidR="008F1865" w:rsidRPr="0020197A" w:rsidRDefault="008F1865" w:rsidP="000051BA">
            <w:pPr>
              <w:pStyle w:val="TableParagraph"/>
              <w:numPr>
                <w:ilvl w:val="0"/>
                <w:numId w:val="19"/>
              </w:numPr>
              <w:spacing w:before="40"/>
              <w:ind w:left="397" w:hanging="270"/>
              <w:rPr>
                <w:sz w:val="20"/>
              </w:rPr>
            </w:pPr>
            <w:r w:rsidRPr="0020197A">
              <w:rPr>
                <w:sz w:val="20"/>
              </w:rPr>
              <w:t xml:space="preserve">Co-administering TAGRISSO with a strong CYP3A4 inducer decreased the exposure of </w:t>
            </w:r>
            <w:proofErr w:type="spellStart"/>
            <w:r w:rsidRPr="0020197A">
              <w:rPr>
                <w:sz w:val="20"/>
              </w:rPr>
              <w:t>osimertinib</w:t>
            </w:r>
            <w:proofErr w:type="spellEnd"/>
            <w:r w:rsidRPr="0020197A">
              <w:rPr>
                <w:sz w:val="20"/>
              </w:rPr>
              <w:t xml:space="preserve"> compared to administering TAGRISSO alone. Decreased </w:t>
            </w:r>
            <w:proofErr w:type="spellStart"/>
            <w:r w:rsidRPr="0020197A">
              <w:rPr>
                <w:sz w:val="20"/>
              </w:rPr>
              <w:t>osimertinib</w:t>
            </w:r>
            <w:proofErr w:type="spellEnd"/>
            <w:r w:rsidRPr="0020197A">
              <w:rPr>
                <w:sz w:val="20"/>
              </w:rPr>
              <w:t xml:space="preserve"> exposure may lead to reduced efficacy</w:t>
            </w:r>
            <w:r w:rsidR="0020197A">
              <w:rPr>
                <w:sz w:val="20"/>
              </w:rPr>
              <w:t>.</w:t>
            </w:r>
          </w:p>
          <w:p w14:paraId="469CC6CC" w14:textId="34C9E094" w:rsidR="000051BA" w:rsidRPr="00494F4F" w:rsidRDefault="000051BA" w:rsidP="000051BA">
            <w:pPr>
              <w:pStyle w:val="TableParagraph"/>
              <w:numPr>
                <w:ilvl w:val="0"/>
                <w:numId w:val="19"/>
              </w:numPr>
              <w:spacing w:before="40"/>
              <w:ind w:left="397" w:hanging="270"/>
              <w:rPr>
                <w:bCs/>
                <w:sz w:val="16"/>
              </w:rPr>
            </w:pPr>
            <w:r>
              <w:rPr>
                <w:sz w:val="20"/>
              </w:rPr>
              <w:t>If concurrent use is unavoidable, increase TAGRISSO dosage to 160</w:t>
            </w:r>
            <w:r w:rsidR="00061510">
              <w:rPr>
                <w:sz w:val="20"/>
              </w:rPr>
              <w:t xml:space="preserve"> </w:t>
            </w:r>
            <w:r>
              <w:rPr>
                <w:sz w:val="20"/>
              </w:rPr>
              <w:t>mg daily when co-administering with a strong CYP3A4 inducer.</w:t>
            </w:r>
            <w:r w:rsidR="00494F4F">
              <w:rPr>
                <w:sz w:val="20"/>
              </w:rPr>
              <w:t xml:space="preserve">  Resume TAGRISSO at 80</w:t>
            </w:r>
            <w:r w:rsidR="003068A3">
              <w:rPr>
                <w:sz w:val="20"/>
              </w:rPr>
              <w:t xml:space="preserve"> </w:t>
            </w:r>
            <w:r w:rsidR="00494F4F">
              <w:rPr>
                <w:sz w:val="20"/>
              </w:rPr>
              <w:t>mg 3 weeks after discontinuation of the strong CYP3A4 inducer</w:t>
            </w:r>
            <w:r w:rsidR="00B22185">
              <w:rPr>
                <w:sz w:val="20"/>
              </w:rPr>
              <w:t>.</w:t>
            </w:r>
          </w:p>
          <w:p w14:paraId="414D1BF3" w14:textId="001F5787" w:rsidR="00494F4F" w:rsidRPr="000051BA" w:rsidRDefault="00494F4F" w:rsidP="000A7BF6">
            <w:pPr>
              <w:pStyle w:val="TableParagraph"/>
              <w:numPr>
                <w:ilvl w:val="0"/>
                <w:numId w:val="19"/>
              </w:numPr>
              <w:spacing w:before="40" w:after="120"/>
              <w:ind w:left="404" w:hanging="274"/>
              <w:rPr>
                <w:bCs/>
                <w:sz w:val="16"/>
              </w:rPr>
            </w:pPr>
            <w:r>
              <w:rPr>
                <w:sz w:val="20"/>
              </w:rPr>
              <w:t>No dose adjustments are required when TAGRISSO is used with moderate and/or weak CYP3A inducers</w:t>
            </w:r>
            <w:r w:rsidR="00B22185">
              <w:rPr>
                <w:sz w:val="20"/>
              </w:rPr>
              <w:t>.</w:t>
            </w:r>
          </w:p>
          <w:p w14:paraId="2A7B865F" w14:textId="3ABA2213" w:rsidR="004219DD" w:rsidRDefault="000A7BF6" w:rsidP="00280B80">
            <w:pPr>
              <w:pStyle w:val="TableParagraph"/>
              <w:spacing w:line="191" w:lineRule="exact"/>
              <w:ind w:left="127"/>
              <w:rPr>
                <w:sz w:val="16"/>
              </w:rPr>
            </w:pPr>
            <w:r w:rsidRPr="000A7BF6">
              <w:rPr>
                <w:sz w:val="16"/>
              </w:rPr>
              <w:t>CYP3A=cytochrome P450, family 3, subfamily A</w:t>
            </w:r>
          </w:p>
        </w:tc>
      </w:tr>
    </w:tbl>
    <w:tbl>
      <w:tblPr>
        <w:tblW w:w="0" w:type="auto"/>
        <w:tblInd w:w="270" w:type="dxa"/>
        <w:tblLayout w:type="fixed"/>
        <w:tblCellMar>
          <w:left w:w="0" w:type="dxa"/>
          <w:right w:w="0" w:type="dxa"/>
        </w:tblCellMar>
        <w:tblLook w:val="01E0" w:firstRow="1" w:lastRow="1" w:firstColumn="1" w:lastColumn="1" w:noHBand="0" w:noVBand="0"/>
      </w:tblPr>
      <w:tblGrid>
        <w:gridCol w:w="2880"/>
        <w:gridCol w:w="7290"/>
      </w:tblGrid>
      <w:tr w:rsidR="00280B80" w14:paraId="7D380D63" w14:textId="77777777" w:rsidTr="00807307">
        <w:trPr>
          <w:trHeight w:val="810"/>
        </w:trPr>
        <w:tc>
          <w:tcPr>
            <w:tcW w:w="2880" w:type="dxa"/>
            <w:shd w:val="clear" w:color="auto" w:fill="F1F1F1"/>
            <w:tcMar>
              <w:left w:w="144" w:type="dxa"/>
              <w:right w:w="144" w:type="dxa"/>
            </w:tcMar>
          </w:tcPr>
          <w:p w14:paraId="068C0399" w14:textId="220266A9" w:rsidR="00280B80" w:rsidRDefault="00280B80" w:rsidP="00280B80">
            <w:pPr>
              <w:pStyle w:val="TableParagraph"/>
              <w:ind w:left="180" w:firstLine="52"/>
              <w:rPr>
                <w:rFonts w:ascii="Times New Roman"/>
                <w:sz w:val="18"/>
              </w:rPr>
            </w:pPr>
          </w:p>
        </w:tc>
        <w:tc>
          <w:tcPr>
            <w:tcW w:w="7290" w:type="dxa"/>
            <w:shd w:val="clear" w:color="auto" w:fill="F1F1F1"/>
            <w:tcMar>
              <w:left w:w="144" w:type="dxa"/>
              <w:right w:w="144" w:type="dxa"/>
            </w:tcMar>
          </w:tcPr>
          <w:p w14:paraId="29F25E68" w14:textId="77777777" w:rsidR="0020197A" w:rsidRDefault="0020197A" w:rsidP="005A5C9D">
            <w:pPr>
              <w:pStyle w:val="TableParagraph"/>
              <w:spacing w:before="40"/>
              <w:rPr>
                <w:b/>
                <w:bCs/>
                <w:sz w:val="20"/>
              </w:rPr>
            </w:pPr>
          </w:p>
          <w:p w14:paraId="23240642" w14:textId="1BA1D197" w:rsidR="00CD27EC" w:rsidRDefault="00CD27EC" w:rsidP="00CD27EC">
            <w:pPr>
              <w:pStyle w:val="TableParagraph"/>
              <w:spacing w:before="40"/>
              <w:ind w:left="-53"/>
              <w:rPr>
                <w:sz w:val="20"/>
              </w:rPr>
            </w:pPr>
            <w:r>
              <w:rPr>
                <w:b/>
                <w:bCs/>
                <w:sz w:val="20"/>
              </w:rPr>
              <w:t>Effects of TAGRISSO on other drugs</w:t>
            </w:r>
            <w:r>
              <w:rPr>
                <w:sz w:val="20"/>
              </w:rPr>
              <w:t xml:space="preserve"> </w:t>
            </w:r>
          </w:p>
          <w:p w14:paraId="410DA2BB" w14:textId="1BB46FB9" w:rsidR="00CD27EC" w:rsidRDefault="00CD27EC" w:rsidP="00CD27EC">
            <w:pPr>
              <w:pStyle w:val="TableParagraph"/>
              <w:numPr>
                <w:ilvl w:val="0"/>
                <w:numId w:val="21"/>
              </w:numPr>
              <w:spacing w:before="40"/>
              <w:ind w:left="217" w:hanging="270"/>
              <w:rPr>
                <w:sz w:val="20"/>
              </w:rPr>
            </w:pPr>
            <w:r>
              <w:rPr>
                <w:sz w:val="20"/>
              </w:rPr>
              <w:t>Co-administering TAGRISSO with a breast cancer</w:t>
            </w:r>
            <w:r w:rsidR="000D0DEC">
              <w:rPr>
                <w:sz w:val="20"/>
              </w:rPr>
              <w:t>-</w:t>
            </w:r>
            <w:r>
              <w:rPr>
                <w:sz w:val="20"/>
              </w:rPr>
              <w:t>resistant protein (BCRP) or P-glycoprotein (P-</w:t>
            </w:r>
            <w:proofErr w:type="spellStart"/>
            <w:r>
              <w:rPr>
                <w:sz w:val="20"/>
              </w:rPr>
              <w:t>gp</w:t>
            </w:r>
            <w:proofErr w:type="spellEnd"/>
            <w:r>
              <w:rPr>
                <w:sz w:val="20"/>
              </w:rPr>
              <w:t xml:space="preserve">) substrate increased the exposure of the substrate compared to </w:t>
            </w:r>
            <w:r w:rsidR="00A82BEC">
              <w:rPr>
                <w:sz w:val="20"/>
              </w:rPr>
              <w:t>administering it alone.  Increased BCRP or P-</w:t>
            </w:r>
            <w:proofErr w:type="spellStart"/>
            <w:r w:rsidR="00A82BEC">
              <w:rPr>
                <w:sz w:val="20"/>
              </w:rPr>
              <w:t>gp</w:t>
            </w:r>
            <w:proofErr w:type="spellEnd"/>
            <w:r w:rsidR="00A82BEC">
              <w:rPr>
                <w:sz w:val="20"/>
              </w:rPr>
              <w:t xml:space="preserve"> substrate exposure may increase the risk of exposure-related toxicity</w:t>
            </w:r>
            <w:r w:rsidR="00A87C66">
              <w:rPr>
                <w:sz w:val="20"/>
              </w:rPr>
              <w:t>.</w:t>
            </w:r>
          </w:p>
          <w:p w14:paraId="6426E6D3" w14:textId="3E8C1A90" w:rsidR="00A82BEC" w:rsidRDefault="00A82BEC" w:rsidP="00EC7468">
            <w:pPr>
              <w:pStyle w:val="TableParagraph"/>
              <w:numPr>
                <w:ilvl w:val="0"/>
                <w:numId w:val="21"/>
              </w:numPr>
              <w:spacing w:before="40" w:after="120"/>
              <w:ind w:left="216" w:hanging="274"/>
              <w:rPr>
                <w:sz w:val="20"/>
              </w:rPr>
            </w:pPr>
            <w:r>
              <w:rPr>
                <w:sz w:val="20"/>
              </w:rPr>
              <w:t>Monitor for adverse reactions of the BCRP or P-</w:t>
            </w:r>
            <w:proofErr w:type="spellStart"/>
            <w:r>
              <w:rPr>
                <w:sz w:val="20"/>
              </w:rPr>
              <w:t>gp</w:t>
            </w:r>
            <w:proofErr w:type="spellEnd"/>
            <w:r>
              <w:rPr>
                <w:sz w:val="20"/>
              </w:rPr>
              <w:t xml:space="preserve"> substrate, unless otherwise </w:t>
            </w:r>
            <w:r>
              <w:rPr>
                <w:sz w:val="20"/>
              </w:rPr>
              <w:lastRenderedPageBreak/>
              <w:t>instructed in its approved labeling</w:t>
            </w:r>
            <w:r w:rsidR="00892039">
              <w:rPr>
                <w:sz w:val="20"/>
              </w:rPr>
              <w:t xml:space="preserve"> </w:t>
            </w:r>
            <w:r w:rsidR="00892039" w:rsidRPr="00892039">
              <w:rPr>
                <w:sz w:val="20"/>
              </w:rPr>
              <w:t>when co-administered with TAGRISSO</w:t>
            </w:r>
            <w:r w:rsidR="00892039">
              <w:rPr>
                <w:sz w:val="20"/>
              </w:rPr>
              <w:t>.</w:t>
            </w:r>
          </w:p>
          <w:p w14:paraId="1DB0E928" w14:textId="353DEDAD" w:rsidR="00EC7468" w:rsidRDefault="00EC7468" w:rsidP="00EC7468">
            <w:pPr>
              <w:pStyle w:val="TableParagraph"/>
              <w:spacing w:before="40"/>
              <w:ind w:left="-58"/>
              <w:rPr>
                <w:sz w:val="20"/>
              </w:rPr>
            </w:pPr>
            <w:r>
              <w:rPr>
                <w:b/>
                <w:bCs/>
                <w:sz w:val="20"/>
              </w:rPr>
              <w:t>Drugs that prolong the QTc interval</w:t>
            </w:r>
          </w:p>
          <w:p w14:paraId="0203ABB1" w14:textId="7D5FE452" w:rsidR="00EC7468" w:rsidRDefault="00383623" w:rsidP="00EC7468">
            <w:pPr>
              <w:pStyle w:val="TableParagraph"/>
              <w:numPr>
                <w:ilvl w:val="0"/>
                <w:numId w:val="22"/>
              </w:numPr>
              <w:spacing w:before="40"/>
              <w:ind w:left="217" w:hanging="270"/>
              <w:rPr>
                <w:sz w:val="20"/>
              </w:rPr>
            </w:pPr>
            <w:r>
              <w:rPr>
                <w:sz w:val="20"/>
              </w:rPr>
              <w:t>The effect of co-administering medicinal products known to prolong the QTc interval with TAGRISSO is unknown</w:t>
            </w:r>
            <w:r w:rsidR="00826F7B">
              <w:rPr>
                <w:sz w:val="20"/>
              </w:rPr>
              <w:t>.</w:t>
            </w:r>
          </w:p>
          <w:p w14:paraId="091A0133" w14:textId="49CEC9B9" w:rsidR="00383623" w:rsidRDefault="00383623" w:rsidP="00EC7468">
            <w:pPr>
              <w:pStyle w:val="TableParagraph"/>
              <w:numPr>
                <w:ilvl w:val="0"/>
                <w:numId w:val="22"/>
              </w:numPr>
              <w:spacing w:before="40"/>
              <w:ind w:left="217" w:hanging="270"/>
              <w:rPr>
                <w:sz w:val="20"/>
              </w:rPr>
            </w:pPr>
            <w:r>
              <w:rPr>
                <w:sz w:val="20"/>
              </w:rPr>
              <w:t xml:space="preserve">When feasible, avoid concomitant administration of drugs known to prolong the QTc interval with known risk of </w:t>
            </w:r>
            <w:proofErr w:type="spellStart"/>
            <w:r>
              <w:rPr>
                <w:sz w:val="20"/>
              </w:rPr>
              <w:t>Torsades</w:t>
            </w:r>
            <w:proofErr w:type="spellEnd"/>
            <w:r>
              <w:rPr>
                <w:sz w:val="20"/>
              </w:rPr>
              <w:t xml:space="preserve"> de </w:t>
            </w:r>
            <w:r w:rsidR="00826F7B">
              <w:rPr>
                <w:sz w:val="20"/>
              </w:rPr>
              <w:t>p</w:t>
            </w:r>
            <w:r>
              <w:rPr>
                <w:sz w:val="20"/>
              </w:rPr>
              <w:t>ointes</w:t>
            </w:r>
            <w:r w:rsidR="00E67584">
              <w:rPr>
                <w:sz w:val="20"/>
              </w:rPr>
              <w:t>.</w:t>
            </w:r>
          </w:p>
          <w:p w14:paraId="129317CD" w14:textId="6295CF2D" w:rsidR="00A82BEC" w:rsidRDefault="00383623" w:rsidP="005A3B32">
            <w:pPr>
              <w:pStyle w:val="TableParagraph"/>
              <w:numPr>
                <w:ilvl w:val="0"/>
                <w:numId w:val="22"/>
              </w:numPr>
              <w:spacing w:before="40" w:after="60"/>
              <w:ind w:left="216" w:hanging="274"/>
              <w:rPr>
                <w:sz w:val="20"/>
              </w:rPr>
            </w:pPr>
            <w:r>
              <w:rPr>
                <w:sz w:val="20"/>
              </w:rPr>
              <w:t>If not feasible to avoid concomitant administration of such drugs, contact periodic ECG monitoring</w:t>
            </w:r>
            <w:r w:rsidR="00826F7B">
              <w:rPr>
                <w:sz w:val="20"/>
              </w:rPr>
              <w:t>.</w:t>
            </w:r>
          </w:p>
          <w:p w14:paraId="64005E8C" w14:textId="154D6D27" w:rsidR="00023E46" w:rsidRPr="00023E46" w:rsidRDefault="00023E46" w:rsidP="00023E46">
            <w:pPr>
              <w:pStyle w:val="TableParagraph"/>
              <w:spacing w:after="120" w:line="191" w:lineRule="exact"/>
              <w:ind w:left="130"/>
              <w:rPr>
                <w:sz w:val="16"/>
              </w:rPr>
            </w:pPr>
            <w:r w:rsidRPr="000A7BF6">
              <w:rPr>
                <w:sz w:val="16"/>
              </w:rPr>
              <w:t>CYP3A=cytochrome P450, family 3, subfamily A</w:t>
            </w:r>
            <w:r>
              <w:rPr>
                <w:sz w:val="16"/>
              </w:rPr>
              <w:t>; QTc=QT interval corrected for heart rate</w:t>
            </w:r>
          </w:p>
        </w:tc>
      </w:tr>
    </w:tbl>
    <w:p w14:paraId="6A667876" w14:textId="301C9D8B" w:rsidR="00280B80" w:rsidRPr="005A3B32" w:rsidRDefault="00280B80">
      <w:pPr>
        <w:pStyle w:val="BodyText"/>
        <w:spacing w:before="1"/>
        <w:rPr>
          <w:sz w:val="12"/>
          <w:szCs w:val="10"/>
        </w:rPr>
      </w:pPr>
    </w:p>
    <w:tbl>
      <w:tblPr>
        <w:tblW w:w="0" w:type="auto"/>
        <w:tblInd w:w="307" w:type="dxa"/>
        <w:tblLayout w:type="fixed"/>
        <w:tblCellMar>
          <w:left w:w="0" w:type="dxa"/>
          <w:right w:w="0" w:type="dxa"/>
        </w:tblCellMar>
        <w:tblLook w:val="01E0" w:firstRow="1" w:lastRow="1" w:firstColumn="1" w:lastColumn="1" w:noHBand="0" w:noVBand="0"/>
      </w:tblPr>
      <w:tblGrid>
        <w:gridCol w:w="2933"/>
        <w:gridCol w:w="7290"/>
      </w:tblGrid>
      <w:tr w:rsidR="001E25D0" w14:paraId="2725B227" w14:textId="77777777" w:rsidTr="001A521B">
        <w:trPr>
          <w:trHeight w:val="242"/>
        </w:trPr>
        <w:tc>
          <w:tcPr>
            <w:tcW w:w="2933" w:type="dxa"/>
          </w:tcPr>
          <w:p w14:paraId="78283D7A" w14:textId="77777777" w:rsidR="001E25D0" w:rsidRDefault="001E25D0">
            <w:pPr>
              <w:pStyle w:val="TableParagraph"/>
              <w:spacing w:line="203" w:lineRule="exact"/>
              <w:rPr>
                <w:b/>
                <w:sz w:val="20"/>
              </w:rPr>
            </w:pPr>
            <w:r>
              <w:rPr>
                <w:b/>
                <w:color w:val="DD8046"/>
                <w:sz w:val="20"/>
              </w:rPr>
              <w:t>Adverse Reactions</w:t>
            </w:r>
          </w:p>
        </w:tc>
        <w:tc>
          <w:tcPr>
            <w:tcW w:w="7290" w:type="dxa"/>
          </w:tcPr>
          <w:p w14:paraId="3ACB5FC4" w14:textId="52AA80FD" w:rsidR="001E25D0" w:rsidRDefault="001E25D0" w:rsidP="00DF25A1">
            <w:pPr>
              <w:pStyle w:val="TableParagraph"/>
              <w:spacing w:line="203" w:lineRule="exact"/>
              <w:ind w:left="-180" w:firstLine="180"/>
              <w:rPr>
                <w:b/>
                <w:sz w:val="20"/>
              </w:rPr>
            </w:pPr>
            <w:r>
              <w:rPr>
                <w:b/>
                <w:color w:val="DD8046"/>
                <w:sz w:val="20"/>
              </w:rPr>
              <w:t>Comments</w:t>
            </w:r>
          </w:p>
        </w:tc>
      </w:tr>
      <w:tr w:rsidR="001E25D0" w14:paraId="68BF13D7" w14:textId="77777777" w:rsidTr="001A521B">
        <w:trPr>
          <w:trHeight w:val="811"/>
        </w:trPr>
        <w:tc>
          <w:tcPr>
            <w:tcW w:w="2933" w:type="dxa"/>
            <w:shd w:val="clear" w:color="auto" w:fill="F1F1F1"/>
          </w:tcPr>
          <w:p w14:paraId="6C3054BD" w14:textId="24C72D7D" w:rsidR="001E25D0" w:rsidRPr="006D6067" w:rsidRDefault="001E25D0">
            <w:pPr>
              <w:pStyle w:val="TableParagraph"/>
              <w:spacing w:before="40"/>
              <w:ind w:right="130"/>
              <w:rPr>
                <w:b/>
                <w:bCs/>
                <w:sz w:val="20"/>
              </w:rPr>
            </w:pPr>
            <w:r w:rsidRPr="006D6067">
              <w:rPr>
                <w:b/>
                <w:bCs/>
                <w:sz w:val="20"/>
              </w:rPr>
              <w:t>Please see complete Prescribing Information for additional</w:t>
            </w:r>
          </w:p>
          <w:p w14:paraId="152FB6F2" w14:textId="254C7A44" w:rsidR="001E25D0" w:rsidRDefault="001E25D0">
            <w:pPr>
              <w:pStyle w:val="TableParagraph"/>
              <w:spacing w:line="243" w:lineRule="exact"/>
              <w:rPr>
                <w:sz w:val="20"/>
              </w:rPr>
            </w:pPr>
            <w:r w:rsidRPr="006D6067">
              <w:rPr>
                <w:b/>
                <w:bCs/>
                <w:sz w:val="20"/>
              </w:rPr>
              <w:t>information on ARs.</w:t>
            </w:r>
          </w:p>
        </w:tc>
        <w:tc>
          <w:tcPr>
            <w:tcW w:w="7290" w:type="dxa"/>
            <w:shd w:val="clear" w:color="auto" w:fill="F1F1F1"/>
          </w:tcPr>
          <w:p w14:paraId="628A251F" w14:textId="1D1DA456" w:rsidR="001E25D0" w:rsidRDefault="008B5CEC" w:rsidP="001A521B">
            <w:pPr>
              <w:pStyle w:val="TableParagraph"/>
              <w:spacing w:before="40" w:after="120"/>
              <w:ind w:right="-86"/>
              <w:rPr>
                <w:sz w:val="20"/>
              </w:rPr>
            </w:pPr>
            <w:r w:rsidRPr="006615D6">
              <w:rPr>
                <w:sz w:val="20"/>
                <w:szCs w:val="20"/>
              </w:rPr>
              <w:t>The m</w:t>
            </w:r>
            <w:r w:rsidR="001E25D0" w:rsidRPr="006615D6">
              <w:rPr>
                <w:sz w:val="20"/>
                <w:szCs w:val="20"/>
              </w:rPr>
              <w:t xml:space="preserve">ost common </w:t>
            </w:r>
            <w:r w:rsidR="009D2FD3">
              <w:rPr>
                <w:sz w:val="20"/>
                <w:szCs w:val="20"/>
              </w:rPr>
              <w:t>(</w:t>
            </w:r>
            <w:r w:rsidR="009D2FD3" w:rsidRPr="00AA7FED">
              <w:rPr>
                <w:sz w:val="20"/>
                <w:szCs w:val="20"/>
                <w:u w:val="single"/>
              </w:rPr>
              <w:t>&gt;</w:t>
            </w:r>
            <w:r w:rsidR="009D2FD3" w:rsidRPr="006615D6">
              <w:rPr>
                <w:sz w:val="20"/>
                <w:szCs w:val="20"/>
              </w:rPr>
              <w:t>20%</w:t>
            </w:r>
            <w:r w:rsidR="009D2FD3">
              <w:rPr>
                <w:sz w:val="20"/>
                <w:szCs w:val="20"/>
              </w:rPr>
              <w:t xml:space="preserve">) </w:t>
            </w:r>
            <w:r w:rsidR="001E25D0" w:rsidRPr="006615D6">
              <w:rPr>
                <w:sz w:val="20"/>
                <w:szCs w:val="20"/>
              </w:rPr>
              <w:t>adverse reactions</w:t>
            </w:r>
            <w:r w:rsidR="009D2FD3">
              <w:rPr>
                <w:sz w:val="20"/>
                <w:szCs w:val="20"/>
              </w:rPr>
              <w:t>, including laboratory abnormalities</w:t>
            </w:r>
            <w:r w:rsidR="00061510">
              <w:rPr>
                <w:sz w:val="20"/>
                <w:szCs w:val="20"/>
              </w:rPr>
              <w:t>,</w:t>
            </w:r>
            <w:r w:rsidR="001E25D0" w:rsidRPr="006615D6">
              <w:rPr>
                <w:sz w:val="20"/>
                <w:szCs w:val="20"/>
              </w:rPr>
              <w:t xml:space="preserve"> </w:t>
            </w:r>
            <w:r w:rsidR="005B1FDB" w:rsidRPr="005B1FDB">
              <w:rPr>
                <w:sz w:val="20"/>
                <w:szCs w:val="20"/>
              </w:rPr>
              <w:t>in TAGRISSO in combination with pemetrexed and platinum-based chemotherapy</w:t>
            </w:r>
            <w:r w:rsidR="005B1FDB">
              <w:rPr>
                <w:sz w:val="20"/>
                <w:szCs w:val="20"/>
              </w:rPr>
              <w:t xml:space="preserve"> </w:t>
            </w:r>
            <w:r w:rsidR="006615D6">
              <w:rPr>
                <w:sz w:val="20"/>
                <w:szCs w:val="20"/>
              </w:rPr>
              <w:t>we</w:t>
            </w:r>
            <w:r w:rsidR="001E25D0" w:rsidRPr="006615D6">
              <w:rPr>
                <w:sz w:val="20"/>
                <w:szCs w:val="20"/>
              </w:rPr>
              <w:t xml:space="preserve">re </w:t>
            </w:r>
            <w:r w:rsidR="009D2FD3">
              <w:rPr>
                <w:sz w:val="20"/>
                <w:szCs w:val="20"/>
              </w:rPr>
              <w:t>leukopenia</w:t>
            </w:r>
            <w:r w:rsidR="002F6342">
              <w:rPr>
                <w:sz w:val="20"/>
                <w:szCs w:val="20"/>
              </w:rPr>
              <w:t xml:space="preserve"> (</w:t>
            </w:r>
            <w:r w:rsidR="00530E10">
              <w:rPr>
                <w:sz w:val="20"/>
                <w:szCs w:val="20"/>
              </w:rPr>
              <w:t>88</w:t>
            </w:r>
            <w:r w:rsidR="002F6342">
              <w:rPr>
                <w:sz w:val="20"/>
                <w:szCs w:val="20"/>
              </w:rPr>
              <w:t>%)</w:t>
            </w:r>
            <w:r w:rsidR="009D2FD3">
              <w:rPr>
                <w:sz w:val="20"/>
                <w:szCs w:val="20"/>
              </w:rPr>
              <w:t xml:space="preserve">, </w:t>
            </w:r>
            <w:r w:rsidR="00914EE1">
              <w:rPr>
                <w:sz w:val="20"/>
                <w:szCs w:val="20"/>
              </w:rPr>
              <w:t xml:space="preserve">thrombocytopenia (85%), </w:t>
            </w:r>
            <w:r w:rsidR="00907B3E">
              <w:rPr>
                <w:sz w:val="20"/>
                <w:szCs w:val="20"/>
              </w:rPr>
              <w:t xml:space="preserve">neutropenia (85%), </w:t>
            </w:r>
            <w:r w:rsidR="009D2FD3">
              <w:rPr>
                <w:sz w:val="20"/>
                <w:szCs w:val="20"/>
              </w:rPr>
              <w:t>lymphopenia</w:t>
            </w:r>
            <w:r w:rsidR="002F6342">
              <w:rPr>
                <w:sz w:val="20"/>
                <w:szCs w:val="20"/>
              </w:rPr>
              <w:t xml:space="preserve"> (</w:t>
            </w:r>
            <w:r w:rsidR="00F624D3">
              <w:rPr>
                <w:sz w:val="20"/>
                <w:szCs w:val="20"/>
              </w:rPr>
              <w:t>78</w:t>
            </w:r>
            <w:r w:rsidR="002F6342">
              <w:rPr>
                <w:sz w:val="20"/>
                <w:szCs w:val="20"/>
              </w:rPr>
              <w:t>%)</w:t>
            </w:r>
            <w:r w:rsidR="009D2FD3">
              <w:rPr>
                <w:sz w:val="20"/>
                <w:szCs w:val="20"/>
              </w:rPr>
              <w:t xml:space="preserve">, </w:t>
            </w:r>
            <w:r w:rsidR="00907B3E" w:rsidRPr="006615D6">
              <w:rPr>
                <w:sz w:val="20"/>
                <w:szCs w:val="20"/>
              </w:rPr>
              <w:t>rash (</w:t>
            </w:r>
            <w:r w:rsidR="00907B3E">
              <w:rPr>
                <w:sz w:val="20"/>
                <w:szCs w:val="20"/>
              </w:rPr>
              <w:t>49</w:t>
            </w:r>
            <w:r w:rsidR="00907B3E" w:rsidRPr="006615D6">
              <w:rPr>
                <w:sz w:val="20"/>
                <w:szCs w:val="20"/>
              </w:rPr>
              <w:t xml:space="preserve">%), </w:t>
            </w:r>
            <w:r w:rsidR="001E25D0" w:rsidRPr="006615D6">
              <w:rPr>
                <w:sz w:val="20"/>
                <w:szCs w:val="20"/>
              </w:rPr>
              <w:t>diarrhea</w:t>
            </w:r>
            <w:r w:rsidRPr="006615D6">
              <w:rPr>
                <w:sz w:val="20"/>
                <w:szCs w:val="20"/>
              </w:rPr>
              <w:t xml:space="preserve"> (</w:t>
            </w:r>
            <w:r w:rsidR="00865F4F">
              <w:rPr>
                <w:sz w:val="20"/>
                <w:szCs w:val="20"/>
              </w:rPr>
              <w:t>4</w:t>
            </w:r>
            <w:r w:rsidR="00A40620">
              <w:rPr>
                <w:sz w:val="20"/>
                <w:szCs w:val="20"/>
              </w:rPr>
              <w:t>3</w:t>
            </w:r>
            <w:r w:rsidRPr="006615D6">
              <w:rPr>
                <w:sz w:val="20"/>
                <w:szCs w:val="20"/>
              </w:rPr>
              <w:t>%)</w:t>
            </w:r>
            <w:r w:rsidR="001E25D0" w:rsidRPr="006615D6">
              <w:rPr>
                <w:sz w:val="20"/>
                <w:szCs w:val="20"/>
              </w:rPr>
              <w:t xml:space="preserve">, </w:t>
            </w:r>
            <w:r w:rsidR="00907B3E" w:rsidRPr="006615D6">
              <w:rPr>
                <w:sz w:val="20"/>
                <w:szCs w:val="20"/>
              </w:rPr>
              <w:t>stomatitis (</w:t>
            </w:r>
            <w:r w:rsidR="00907B3E">
              <w:rPr>
                <w:sz w:val="20"/>
                <w:szCs w:val="20"/>
              </w:rPr>
              <w:t>31</w:t>
            </w:r>
            <w:r w:rsidR="00907B3E" w:rsidRPr="006615D6">
              <w:rPr>
                <w:sz w:val="20"/>
                <w:szCs w:val="20"/>
              </w:rPr>
              <w:t xml:space="preserve">%), </w:t>
            </w:r>
            <w:r w:rsidR="00527C2D" w:rsidRPr="006615D6">
              <w:rPr>
                <w:sz w:val="20"/>
                <w:szCs w:val="20"/>
              </w:rPr>
              <w:t>nail toxicity (</w:t>
            </w:r>
            <w:r w:rsidR="00527C2D">
              <w:rPr>
                <w:sz w:val="20"/>
                <w:szCs w:val="20"/>
              </w:rPr>
              <w:t>27</w:t>
            </w:r>
            <w:r w:rsidR="00527C2D" w:rsidRPr="006615D6">
              <w:rPr>
                <w:sz w:val="20"/>
                <w:szCs w:val="20"/>
              </w:rPr>
              <w:t xml:space="preserve">%), </w:t>
            </w:r>
            <w:r w:rsidR="0006296D">
              <w:rPr>
                <w:sz w:val="20"/>
                <w:szCs w:val="20"/>
              </w:rPr>
              <w:t xml:space="preserve">dry skin (24%), </w:t>
            </w:r>
            <w:r w:rsidR="00BA62B5">
              <w:rPr>
                <w:sz w:val="20"/>
                <w:szCs w:val="20"/>
              </w:rPr>
              <w:t>and increased blood creatine (</w:t>
            </w:r>
            <w:r w:rsidR="00A736FA">
              <w:rPr>
                <w:sz w:val="20"/>
                <w:szCs w:val="20"/>
              </w:rPr>
              <w:t>22%)</w:t>
            </w:r>
            <w:r w:rsidR="00E67584">
              <w:rPr>
                <w:sz w:val="20"/>
                <w:szCs w:val="20"/>
              </w:rPr>
              <w:t>.</w:t>
            </w:r>
          </w:p>
        </w:tc>
      </w:tr>
    </w:tbl>
    <w:p w14:paraId="0569096F" w14:textId="568038FF" w:rsidR="00073818" w:rsidRPr="005A3B32" w:rsidRDefault="00073818">
      <w:pPr>
        <w:rPr>
          <w:sz w:val="12"/>
          <w:szCs w:val="14"/>
        </w:rPr>
      </w:pPr>
    </w:p>
    <w:tbl>
      <w:tblPr>
        <w:tblW w:w="0" w:type="auto"/>
        <w:tblInd w:w="307" w:type="dxa"/>
        <w:tblLayout w:type="fixed"/>
        <w:tblCellMar>
          <w:left w:w="0" w:type="dxa"/>
          <w:right w:w="0" w:type="dxa"/>
        </w:tblCellMar>
        <w:tblLook w:val="01E0" w:firstRow="1" w:lastRow="1" w:firstColumn="1" w:lastColumn="1" w:noHBand="0" w:noVBand="0"/>
      </w:tblPr>
      <w:tblGrid>
        <w:gridCol w:w="2753"/>
        <w:gridCol w:w="7380"/>
      </w:tblGrid>
      <w:tr w:rsidR="00DF25A1" w14:paraId="50C214EF" w14:textId="77777777" w:rsidTr="00804267">
        <w:trPr>
          <w:trHeight w:val="243"/>
        </w:trPr>
        <w:tc>
          <w:tcPr>
            <w:tcW w:w="2753" w:type="dxa"/>
            <w:tcMar>
              <w:left w:w="144" w:type="dxa"/>
              <w:right w:w="144" w:type="dxa"/>
            </w:tcMar>
          </w:tcPr>
          <w:p w14:paraId="299B9123" w14:textId="2A05B0AE" w:rsidR="00DF25A1" w:rsidRDefault="00DF25A1" w:rsidP="00804267">
            <w:pPr>
              <w:pStyle w:val="TableParagraph"/>
              <w:spacing w:line="203" w:lineRule="exact"/>
              <w:ind w:left="-91"/>
              <w:rPr>
                <w:b/>
                <w:sz w:val="20"/>
              </w:rPr>
            </w:pPr>
            <w:r>
              <w:rPr>
                <w:b/>
                <w:color w:val="DD8046"/>
                <w:sz w:val="20"/>
              </w:rPr>
              <w:t>Warnings and Precautions</w:t>
            </w:r>
          </w:p>
        </w:tc>
        <w:tc>
          <w:tcPr>
            <w:tcW w:w="7380" w:type="dxa"/>
            <w:tcMar>
              <w:left w:w="144" w:type="dxa"/>
              <w:right w:w="144" w:type="dxa"/>
            </w:tcMar>
          </w:tcPr>
          <w:p w14:paraId="501BACD4" w14:textId="2C8B696C" w:rsidR="00DF25A1" w:rsidRDefault="00DF25A1" w:rsidP="00804267">
            <w:pPr>
              <w:pStyle w:val="TableParagraph"/>
              <w:spacing w:line="203" w:lineRule="exact"/>
              <w:ind w:left="37"/>
              <w:rPr>
                <w:b/>
                <w:sz w:val="20"/>
              </w:rPr>
            </w:pPr>
            <w:r>
              <w:rPr>
                <w:b/>
                <w:color w:val="DD8046"/>
                <w:sz w:val="20"/>
              </w:rPr>
              <w:t>Comments</w:t>
            </w:r>
          </w:p>
        </w:tc>
      </w:tr>
      <w:tr w:rsidR="00DF25A1" w14:paraId="442BE2A4" w14:textId="77777777" w:rsidTr="0072424B">
        <w:trPr>
          <w:trHeight w:val="630"/>
        </w:trPr>
        <w:tc>
          <w:tcPr>
            <w:tcW w:w="2753" w:type="dxa"/>
            <w:shd w:val="clear" w:color="auto" w:fill="F1F1F1"/>
            <w:tcMar>
              <w:left w:w="144" w:type="dxa"/>
              <w:right w:w="144" w:type="dxa"/>
            </w:tcMar>
          </w:tcPr>
          <w:p w14:paraId="40A9FF73" w14:textId="2688060F" w:rsidR="00DF25A1" w:rsidRDefault="00DF25A1">
            <w:pPr>
              <w:pStyle w:val="TableParagraph"/>
              <w:rPr>
                <w:rFonts w:ascii="Times New Roman"/>
                <w:sz w:val="18"/>
              </w:rPr>
            </w:pPr>
          </w:p>
        </w:tc>
        <w:tc>
          <w:tcPr>
            <w:tcW w:w="7380" w:type="dxa"/>
            <w:shd w:val="clear" w:color="auto" w:fill="F1F1F1"/>
            <w:tcMar>
              <w:left w:w="144" w:type="dxa"/>
              <w:right w:w="144" w:type="dxa"/>
            </w:tcMar>
          </w:tcPr>
          <w:p w14:paraId="54B9A476" w14:textId="3D897534" w:rsidR="00DF25A1" w:rsidRPr="0072424B" w:rsidRDefault="00DF25A1" w:rsidP="00580EB7">
            <w:pPr>
              <w:pStyle w:val="TableParagraph"/>
              <w:ind w:left="43" w:right="216"/>
              <w:rPr>
                <w:bCs/>
                <w:sz w:val="20"/>
              </w:rPr>
            </w:pPr>
            <w:r w:rsidRPr="00966B48">
              <w:rPr>
                <w:b/>
                <w:sz w:val="20"/>
                <w:u w:val="single"/>
              </w:rPr>
              <w:t>Interstitial Lung Disease</w:t>
            </w:r>
            <w:r w:rsidR="00127882">
              <w:rPr>
                <w:b/>
                <w:sz w:val="20"/>
                <w:u w:val="single"/>
              </w:rPr>
              <w:t xml:space="preserve"> </w:t>
            </w:r>
            <w:r w:rsidRPr="00966B48">
              <w:rPr>
                <w:b/>
                <w:sz w:val="20"/>
                <w:u w:val="single"/>
              </w:rPr>
              <w:t>(ILD)/Pneumonitis</w:t>
            </w:r>
            <w:r>
              <w:rPr>
                <w:b/>
                <w:sz w:val="20"/>
              </w:rPr>
              <w:t xml:space="preserve">: </w:t>
            </w:r>
            <w:r w:rsidR="00992B09" w:rsidRPr="00992B09">
              <w:rPr>
                <w:bCs/>
                <w:sz w:val="20"/>
              </w:rPr>
              <w:t>Withhold TAGRISSO and promptly investigate for ILD in patients who present with worsening of respiratory symptoms which may be indicative of ILD</w:t>
            </w:r>
            <w:r w:rsidR="00127882">
              <w:rPr>
                <w:bCs/>
                <w:sz w:val="20"/>
              </w:rPr>
              <w:t xml:space="preserve"> </w:t>
            </w:r>
            <w:r w:rsidR="00992B09" w:rsidRPr="00992B09">
              <w:rPr>
                <w:bCs/>
                <w:sz w:val="20"/>
              </w:rPr>
              <w:t>(</w:t>
            </w:r>
            <w:r w:rsidR="00D909AF" w:rsidRPr="00992B09">
              <w:rPr>
                <w:bCs/>
                <w:sz w:val="20"/>
              </w:rPr>
              <w:t>e.g.</w:t>
            </w:r>
            <w:r w:rsidR="00992B09" w:rsidRPr="00992B09">
              <w:rPr>
                <w:bCs/>
                <w:sz w:val="20"/>
              </w:rPr>
              <w:t>, dyspnea, </w:t>
            </w:r>
            <w:proofErr w:type="gramStart"/>
            <w:r w:rsidR="00992B09" w:rsidRPr="00992B09">
              <w:rPr>
                <w:bCs/>
                <w:sz w:val="20"/>
              </w:rPr>
              <w:t>cough</w:t>
            </w:r>
            <w:proofErr w:type="gramEnd"/>
            <w:r w:rsidR="00992B09" w:rsidRPr="00992B09">
              <w:rPr>
                <w:bCs/>
                <w:sz w:val="20"/>
              </w:rPr>
              <w:t xml:space="preserve"> and fever)</w:t>
            </w:r>
            <w:r w:rsidR="00A97C01">
              <w:rPr>
                <w:bCs/>
                <w:sz w:val="20"/>
              </w:rPr>
              <w:t>. P</w:t>
            </w:r>
            <w:r w:rsidRPr="0072424B">
              <w:rPr>
                <w:bCs/>
                <w:sz w:val="20"/>
              </w:rPr>
              <w:t>ermanently discontinue TAGRISSO if ILD</w:t>
            </w:r>
            <w:r w:rsidR="00FA3487">
              <w:rPr>
                <w:bCs/>
                <w:sz w:val="20"/>
              </w:rPr>
              <w:t>/pneumonitis</w:t>
            </w:r>
            <w:r w:rsidRPr="0072424B">
              <w:rPr>
                <w:bCs/>
                <w:sz w:val="20"/>
              </w:rPr>
              <w:t xml:space="preserve"> is confirmed</w:t>
            </w:r>
            <w:r w:rsidR="00D909AF">
              <w:rPr>
                <w:bCs/>
                <w:sz w:val="20"/>
              </w:rPr>
              <w:t>.</w:t>
            </w:r>
          </w:p>
          <w:p w14:paraId="05EAF5A4" w14:textId="186667F2" w:rsidR="009D199D" w:rsidRDefault="00C13EFA" w:rsidP="00C13EFA">
            <w:pPr>
              <w:pStyle w:val="TableParagraph"/>
              <w:numPr>
                <w:ilvl w:val="0"/>
                <w:numId w:val="9"/>
              </w:numPr>
              <w:spacing w:before="40"/>
              <w:ind w:left="317" w:hanging="274"/>
              <w:rPr>
                <w:sz w:val="20"/>
              </w:rPr>
            </w:pPr>
            <w:r w:rsidRPr="00C13EFA">
              <w:rPr>
                <w:sz w:val="20"/>
              </w:rPr>
              <w:t xml:space="preserve">Interstitial lung disease (ILD)/pneumonitis occurred in 4% of the 1813 TAGRISSO-treated patients; 0.4% of cases were fatal. </w:t>
            </w:r>
          </w:p>
          <w:p w14:paraId="516629FB" w14:textId="77777777" w:rsidR="00DB23AC" w:rsidRDefault="00C13EFA" w:rsidP="00C13EFA">
            <w:pPr>
              <w:pStyle w:val="TableParagraph"/>
              <w:numPr>
                <w:ilvl w:val="0"/>
                <w:numId w:val="9"/>
              </w:numPr>
              <w:spacing w:before="40"/>
              <w:ind w:left="317" w:hanging="274"/>
              <w:rPr>
                <w:sz w:val="20"/>
              </w:rPr>
            </w:pPr>
            <w:r w:rsidRPr="00C13EFA">
              <w:rPr>
                <w:sz w:val="20"/>
              </w:rPr>
              <w:t xml:space="preserve">In the FLAURA2 study, ILD/pneumonitis occurred in 3.3% of the 276 patients who received TAGRISSO in combination with pemetrexed and platinum-based chemotherapy; 0.4% of cases were fatal. </w:t>
            </w:r>
          </w:p>
          <w:p w14:paraId="6EC13ED4" w14:textId="77777777" w:rsidR="00C13EFA" w:rsidRPr="00C13EFA" w:rsidRDefault="00C13EFA" w:rsidP="00C13EFA">
            <w:pPr>
              <w:pStyle w:val="TableParagraph"/>
              <w:spacing w:before="40"/>
              <w:ind w:left="317"/>
              <w:rPr>
                <w:sz w:val="20"/>
              </w:rPr>
            </w:pPr>
          </w:p>
          <w:p w14:paraId="31130025" w14:textId="6177EDFE" w:rsidR="00DF25A1" w:rsidRPr="0072424B" w:rsidRDefault="00DF25A1" w:rsidP="006359B4">
            <w:pPr>
              <w:pStyle w:val="TableParagraph"/>
              <w:ind w:left="43"/>
              <w:rPr>
                <w:bCs/>
                <w:sz w:val="20"/>
              </w:rPr>
            </w:pPr>
            <w:r w:rsidRPr="00966B48">
              <w:rPr>
                <w:b/>
                <w:sz w:val="20"/>
                <w:u w:val="single"/>
              </w:rPr>
              <w:t>QTc Interval Prolongation</w:t>
            </w:r>
            <w:r>
              <w:rPr>
                <w:b/>
                <w:sz w:val="20"/>
              </w:rPr>
              <w:t xml:space="preserve">: </w:t>
            </w:r>
            <w:r w:rsidRPr="0072424B">
              <w:rPr>
                <w:bCs/>
                <w:sz w:val="20"/>
              </w:rPr>
              <w:t xml:space="preserve">Permanently discontinue TAGRISSO in patients who develop QTc interval prolongation with signs/symptoms of life-threatening </w:t>
            </w:r>
            <w:proofErr w:type="gramStart"/>
            <w:r w:rsidRPr="0072424B">
              <w:rPr>
                <w:bCs/>
                <w:sz w:val="20"/>
              </w:rPr>
              <w:t>arrhythmia</w:t>
            </w:r>
            <w:proofErr w:type="gramEnd"/>
          </w:p>
          <w:p w14:paraId="6654662D" w14:textId="77777777" w:rsidR="00DB23AC" w:rsidRDefault="00500DF6" w:rsidP="00500DF6">
            <w:pPr>
              <w:pStyle w:val="TableParagraph"/>
              <w:numPr>
                <w:ilvl w:val="0"/>
                <w:numId w:val="10"/>
              </w:numPr>
              <w:spacing w:before="40"/>
              <w:rPr>
                <w:bCs/>
                <w:sz w:val="20"/>
              </w:rPr>
            </w:pPr>
            <w:r w:rsidRPr="00500DF6">
              <w:rPr>
                <w:bCs/>
                <w:sz w:val="20"/>
              </w:rPr>
              <w:t xml:space="preserve">Heart rate-corrected QT (QTc) interval prolongation occurs in TAGRISSO-treated patients. Of the 1813 TAGRISSO monotherapy-treated patients in clinical trials, 1.1% were found to have a QTc &gt;500 msec, and 4.3% of patients had an increase from baseline QTc &gt;60 msec. </w:t>
            </w:r>
          </w:p>
          <w:p w14:paraId="5B7E2CCD" w14:textId="77777777" w:rsidR="00B36CE1" w:rsidRDefault="00500DF6" w:rsidP="00B36CE1">
            <w:pPr>
              <w:pStyle w:val="TableParagraph"/>
              <w:numPr>
                <w:ilvl w:val="0"/>
                <w:numId w:val="10"/>
              </w:numPr>
              <w:spacing w:before="40"/>
              <w:rPr>
                <w:bCs/>
                <w:sz w:val="20"/>
              </w:rPr>
            </w:pPr>
            <w:r w:rsidRPr="00500DF6">
              <w:rPr>
                <w:bCs/>
                <w:sz w:val="20"/>
              </w:rPr>
              <w:t xml:space="preserve">Of the 276 patients treated with TAGRISSO in combination with pemetrexed and platinum-based chemotherapy in the FLAURA2 study, 1.8% were found to have a QTc </w:t>
            </w:r>
            <w:r w:rsidRPr="00B36CE1">
              <w:rPr>
                <w:bCs/>
                <w:sz w:val="20"/>
              </w:rPr>
              <w:t xml:space="preserve">&gt;500 msec, and 10.5% of patients had an increase from baseline QTc &gt;60 msec. No QTc-related arrhythmias were reported. </w:t>
            </w:r>
          </w:p>
          <w:p w14:paraId="4FD3E685" w14:textId="4AC0A4C6" w:rsidR="008C0C4B" w:rsidRPr="00B36CE1" w:rsidRDefault="00500DF6" w:rsidP="00B36CE1">
            <w:pPr>
              <w:pStyle w:val="TableParagraph"/>
              <w:numPr>
                <w:ilvl w:val="0"/>
                <w:numId w:val="10"/>
              </w:numPr>
              <w:spacing w:before="40"/>
              <w:rPr>
                <w:bCs/>
                <w:sz w:val="20"/>
              </w:rPr>
            </w:pPr>
            <w:r w:rsidRPr="00B36CE1">
              <w:rPr>
                <w:bCs/>
                <w:sz w:val="20"/>
              </w:rPr>
              <w:t xml:space="preserve">Conduct periodic monitoring with ECGs and electrolytes in patients with congenital long QTc syndrome, congestive heart failure, electrolyte abnormalities, or those who are taking medications known to prolong the QTc interval. </w:t>
            </w:r>
          </w:p>
          <w:p w14:paraId="6A3F2F8C" w14:textId="77777777" w:rsidR="00710DFE" w:rsidRDefault="00710DFE" w:rsidP="00710DFE">
            <w:pPr>
              <w:pStyle w:val="TableParagraph"/>
              <w:spacing w:before="40"/>
              <w:ind w:left="403"/>
              <w:rPr>
                <w:bCs/>
                <w:sz w:val="20"/>
              </w:rPr>
            </w:pPr>
          </w:p>
          <w:p w14:paraId="3B6C9C02" w14:textId="153640D3" w:rsidR="00710DFE" w:rsidRDefault="00804267" w:rsidP="00B36CE1">
            <w:pPr>
              <w:pStyle w:val="TableParagraph"/>
              <w:spacing w:before="40"/>
              <w:ind w:left="43"/>
              <w:rPr>
                <w:bCs/>
                <w:sz w:val="20"/>
              </w:rPr>
            </w:pPr>
            <w:r w:rsidRPr="008C0C4B">
              <w:rPr>
                <w:b/>
                <w:sz w:val="20"/>
                <w:u w:val="single"/>
              </w:rPr>
              <w:t>Cardiomyopathy</w:t>
            </w:r>
            <w:r w:rsidRPr="008C0C4B">
              <w:rPr>
                <w:b/>
                <w:sz w:val="20"/>
              </w:rPr>
              <w:t xml:space="preserve">: </w:t>
            </w:r>
            <w:r w:rsidR="00F65640" w:rsidRPr="00F65640">
              <w:rPr>
                <w:bCs/>
                <w:sz w:val="20"/>
              </w:rPr>
              <w:t>Assess LVEF in patients who develop relevant cardiac signs or symptoms during treatment.</w:t>
            </w:r>
            <w:r w:rsidR="00F65640">
              <w:rPr>
                <w:b/>
                <w:sz w:val="20"/>
              </w:rPr>
              <w:t xml:space="preserve"> </w:t>
            </w:r>
            <w:r w:rsidRPr="008C0C4B">
              <w:rPr>
                <w:bCs/>
                <w:sz w:val="20"/>
              </w:rPr>
              <w:t>For symptomatic congestive heart failure, permanently discontinue TAGRISSO</w:t>
            </w:r>
            <w:r w:rsidR="00E67584">
              <w:rPr>
                <w:bCs/>
                <w:sz w:val="20"/>
              </w:rPr>
              <w:t>.</w:t>
            </w:r>
          </w:p>
          <w:p w14:paraId="67786656" w14:textId="77777777" w:rsidR="009D199D" w:rsidRDefault="00710DFE" w:rsidP="00710DFE">
            <w:pPr>
              <w:pStyle w:val="TableParagraph"/>
              <w:numPr>
                <w:ilvl w:val="0"/>
                <w:numId w:val="33"/>
              </w:numPr>
              <w:spacing w:before="40"/>
              <w:rPr>
                <w:bCs/>
                <w:sz w:val="20"/>
              </w:rPr>
            </w:pPr>
            <w:r w:rsidRPr="00710DFE">
              <w:rPr>
                <w:bCs/>
                <w:sz w:val="20"/>
              </w:rPr>
              <w:t xml:space="preserve">Cardiomyopathy occurred in 3.8% of the 1813 TAGRISSO-treated patients; 0.1% of cardiomyopathy cases were fatal. </w:t>
            </w:r>
          </w:p>
          <w:p w14:paraId="1647FB24" w14:textId="4FA03B9A" w:rsidR="00B36CE1" w:rsidRDefault="00710DFE" w:rsidP="00B36CE1">
            <w:pPr>
              <w:pStyle w:val="TableParagraph"/>
              <w:numPr>
                <w:ilvl w:val="0"/>
                <w:numId w:val="33"/>
              </w:numPr>
              <w:spacing w:before="40"/>
              <w:rPr>
                <w:bCs/>
                <w:sz w:val="20"/>
              </w:rPr>
            </w:pPr>
            <w:r w:rsidRPr="00710DFE">
              <w:rPr>
                <w:bCs/>
                <w:sz w:val="20"/>
              </w:rPr>
              <w:t xml:space="preserve">In the FLAURA2 study, cardiomyopathy occurred in 9% of the 276 patients who received TAGRISSO in combination with pemetrexed and platinum-based chemotherapy; 1.1% of cardiomyopathy cases were fatal. A decline in left ventricular ejection fraction (LVEF) ≥10% from baseline and to &lt;50% LVEF occurred in 4.2% of 1557 patients who had baseline and at least one follow-up LVEF assessment. </w:t>
            </w:r>
          </w:p>
          <w:p w14:paraId="00F43B98" w14:textId="352F8569" w:rsidR="00B36CE1" w:rsidRDefault="00710DFE" w:rsidP="00B36CE1">
            <w:pPr>
              <w:pStyle w:val="TableParagraph"/>
              <w:numPr>
                <w:ilvl w:val="0"/>
                <w:numId w:val="33"/>
              </w:numPr>
              <w:spacing w:before="40"/>
              <w:rPr>
                <w:bCs/>
                <w:sz w:val="20"/>
              </w:rPr>
            </w:pPr>
            <w:r w:rsidRPr="00710DFE">
              <w:rPr>
                <w:bCs/>
                <w:sz w:val="20"/>
              </w:rPr>
              <w:t xml:space="preserve">In the ADAURA study, 1.5% (5/325) of TAGRISSO-treated patients experienced </w:t>
            </w:r>
            <w:r w:rsidRPr="00710DFE">
              <w:rPr>
                <w:bCs/>
                <w:sz w:val="20"/>
              </w:rPr>
              <w:lastRenderedPageBreak/>
              <w:t xml:space="preserve">LVEF decreases ≥10% from baseline and a drop to &lt;50%. </w:t>
            </w:r>
          </w:p>
          <w:p w14:paraId="50471A06" w14:textId="49CBD0BC" w:rsidR="00B36CE1" w:rsidRDefault="00710DFE" w:rsidP="00B36CE1">
            <w:pPr>
              <w:pStyle w:val="TableParagraph"/>
              <w:numPr>
                <w:ilvl w:val="0"/>
                <w:numId w:val="33"/>
              </w:numPr>
              <w:spacing w:before="40"/>
              <w:rPr>
                <w:bCs/>
                <w:sz w:val="20"/>
              </w:rPr>
            </w:pPr>
            <w:r w:rsidRPr="00710DFE">
              <w:rPr>
                <w:bCs/>
                <w:sz w:val="20"/>
              </w:rPr>
              <w:t xml:space="preserve">In the FLAURA2 study, 8% (21/262) of patients treated with TAGRISSO in combination with pemetrexed and platinum-based chemotherapy, who had baseline and at least one follow-up LVEF assessment, experienced LVEF decreases ≥10% and a drop to less than 50%. </w:t>
            </w:r>
          </w:p>
          <w:p w14:paraId="2DAA4B25" w14:textId="77777777" w:rsidR="007F474D" w:rsidRDefault="00710DFE" w:rsidP="007F474D">
            <w:pPr>
              <w:pStyle w:val="TableParagraph"/>
              <w:numPr>
                <w:ilvl w:val="0"/>
                <w:numId w:val="33"/>
              </w:numPr>
              <w:spacing w:before="40"/>
              <w:rPr>
                <w:bCs/>
                <w:sz w:val="20"/>
              </w:rPr>
            </w:pPr>
            <w:r w:rsidRPr="00710DFE">
              <w:rPr>
                <w:bCs/>
                <w:sz w:val="20"/>
              </w:rPr>
              <w:t xml:space="preserve">For patients receiving TAGRISSO monotherapy, conduct cardiac monitoring in patients with cardiac risk factors, including assessment of LVEF at baseline and during treatment. </w:t>
            </w:r>
          </w:p>
          <w:p w14:paraId="030E8B2D" w14:textId="5E7AF232" w:rsidR="00710DFE" w:rsidRPr="007F474D" w:rsidRDefault="00710DFE" w:rsidP="007F474D">
            <w:pPr>
              <w:pStyle w:val="TableParagraph"/>
              <w:numPr>
                <w:ilvl w:val="0"/>
                <w:numId w:val="33"/>
              </w:numPr>
              <w:spacing w:before="40"/>
              <w:rPr>
                <w:bCs/>
                <w:sz w:val="20"/>
              </w:rPr>
            </w:pPr>
            <w:r w:rsidRPr="007F474D">
              <w:rPr>
                <w:bCs/>
                <w:sz w:val="20"/>
              </w:rPr>
              <w:t xml:space="preserve">For patients receiving TAGRISSO in combination with pemetrexed and platinum-based chemotherapy, conduct cardiac monitoring in all patients, including assessment of LVEF at baseline and during treatment. </w:t>
            </w:r>
          </w:p>
          <w:p w14:paraId="1A701F3F" w14:textId="77777777" w:rsidR="009976D8" w:rsidRPr="009976D8" w:rsidRDefault="009976D8" w:rsidP="002214E0">
            <w:pPr>
              <w:pStyle w:val="TableParagraph"/>
              <w:numPr>
                <w:ilvl w:val="0"/>
                <w:numId w:val="33"/>
              </w:numPr>
              <w:spacing w:before="40"/>
              <w:ind w:left="43"/>
              <w:rPr>
                <w:bCs/>
                <w:sz w:val="20"/>
              </w:rPr>
            </w:pPr>
          </w:p>
          <w:p w14:paraId="40FE3725" w14:textId="5D61A05D" w:rsidR="00804267" w:rsidRPr="00804267" w:rsidRDefault="00804267" w:rsidP="00804267">
            <w:pPr>
              <w:pStyle w:val="TableParagraph"/>
              <w:spacing w:before="40"/>
              <w:rPr>
                <w:b/>
                <w:sz w:val="20"/>
              </w:rPr>
            </w:pPr>
            <w:r w:rsidRPr="00966B48">
              <w:rPr>
                <w:b/>
                <w:sz w:val="20"/>
                <w:u w:val="single"/>
              </w:rPr>
              <w:t>Keratitis</w:t>
            </w:r>
            <w:r w:rsidRPr="00804267">
              <w:rPr>
                <w:b/>
                <w:sz w:val="20"/>
              </w:rPr>
              <w:t xml:space="preserve">: </w:t>
            </w:r>
            <w:r w:rsidRPr="0072424B">
              <w:rPr>
                <w:bCs/>
                <w:sz w:val="20"/>
              </w:rPr>
              <w:t>Promptly refer patients with signs and symptoms suggestive of keratitis (such as eye inflammation, lacrimation, light sensitivity, blurred vision, eye pain and/or red eye) to an ophthalmologist</w:t>
            </w:r>
            <w:r w:rsidR="00E67584">
              <w:rPr>
                <w:bCs/>
                <w:sz w:val="20"/>
              </w:rPr>
              <w:t>.</w:t>
            </w:r>
          </w:p>
          <w:p w14:paraId="6FE3F1C0" w14:textId="0D71B193" w:rsidR="006D726F" w:rsidRPr="00371E23" w:rsidRDefault="00804267" w:rsidP="00371E23">
            <w:pPr>
              <w:pStyle w:val="TableParagraph"/>
              <w:numPr>
                <w:ilvl w:val="0"/>
                <w:numId w:val="12"/>
              </w:numPr>
              <w:spacing w:before="40" w:after="120"/>
              <w:ind w:left="317" w:hanging="274"/>
              <w:rPr>
                <w:bCs/>
                <w:sz w:val="20"/>
              </w:rPr>
            </w:pPr>
            <w:r w:rsidRPr="008B4AF3">
              <w:rPr>
                <w:bCs/>
                <w:sz w:val="20"/>
              </w:rPr>
              <w:t xml:space="preserve">Keratitis was </w:t>
            </w:r>
            <w:r w:rsidRPr="009235EF">
              <w:rPr>
                <w:bCs/>
                <w:sz w:val="20"/>
              </w:rPr>
              <w:t>reported in 0.</w:t>
            </w:r>
            <w:r w:rsidR="0027518A">
              <w:rPr>
                <w:bCs/>
                <w:sz w:val="20"/>
              </w:rPr>
              <w:t>6</w:t>
            </w:r>
            <w:r w:rsidRPr="009235EF">
              <w:rPr>
                <w:bCs/>
                <w:sz w:val="20"/>
              </w:rPr>
              <w:t xml:space="preserve">% of </w:t>
            </w:r>
            <w:r w:rsidR="0027518A">
              <w:rPr>
                <w:bCs/>
                <w:sz w:val="20"/>
              </w:rPr>
              <w:t>1813</w:t>
            </w:r>
            <w:r w:rsidR="0027518A" w:rsidRPr="009235EF">
              <w:rPr>
                <w:bCs/>
                <w:sz w:val="20"/>
              </w:rPr>
              <w:t xml:space="preserve"> </w:t>
            </w:r>
            <w:r w:rsidRPr="008B4AF3">
              <w:rPr>
                <w:bCs/>
                <w:sz w:val="20"/>
              </w:rPr>
              <w:t xml:space="preserve">patients treated with TAGRISSO </w:t>
            </w:r>
            <w:r w:rsidR="0027518A">
              <w:rPr>
                <w:bCs/>
                <w:sz w:val="20"/>
              </w:rPr>
              <w:t xml:space="preserve">monotherapy </w:t>
            </w:r>
            <w:r w:rsidRPr="008B4AF3">
              <w:rPr>
                <w:bCs/>
                <w:sz w:val="20"/>
              </w:rPr>
              <w:t>in clinical trials</w:t>
            </w:r>
            <w:r w:rsidR="006420F9">
              <w:rPr>
                <w:bCs/>
                <w:sz w:val="20"/>
              </w:rPr>
              <w:t>.</w:t>
            </w:r>
          </w:p>
          <w:p w14:paraId="698B7AA3" w14:textId="71781D72" w:rsidR="00322F04" w:rsidRPr="0072424B" w:rsidRDefault="008B4AF3" w:rsidP="00B82D3B">
            <w:pPr>
              <w:pStyle w:val="TableParagraph"/>
              <w:spacing w:before="40"/>
              <w:ind w:left="43"/>
              <w:rPr>
                <w:bCs/>
                <w:sz w:val="20"/>
              </w:rPr>
            </w:pPr>
            <w:r w:rsidRPr="00966B48">
              <w:rPr>
                <w:b/>
                <w:sz w:val="20"/>
                <w:u w:val="single"/>
              </w:rPr>
              <w:t xml:space="preserve">Erythema Multiforme </w:t>
            </w:r>
            <w:r w:rsidR="00F97A57">
              <w:rPr>
                <w:b/>
                <w:sz w:val="20"/>
                <w:u w:val="single"/>
              </w:rPr>
              <w:t>Major</w:t>
            </w:r>
            <w:r w:rsidR="00F36CCB">
              <w:rPr>
                <w:b/>
                <w:sz w:val="20"/>
                <w:u w:val="single"/>
              </w:rPr>
              <w:t>,</w:t>
            </w:r>
            <w:r w:rsidR="00F97A57">
              <w:rPr>
                <w:b/>
                <w:sz w:val="20"/>
                <w:u w:val="single"/>
              </w:rPr>
              <w:t xml:space="preserve"> </w:t>
            </w:r>
            <w:r w:rsidRPr="00966B48">
              <w:rPr>
                <w:b/>
                <w:sz w:val="20"/>
                <w:u w:val="single"/>
              </w:rPr>
              <w:t>Stevens-Johnson Syndrome</w:t>
            </w:r>
            <w:r w:rsidR="00F36CCB">
              <w:rPr>
                <w:b/>
                <w:sz w:val="20"/>
                <w:u w:val="single"/>
              </w:rPr>
              <w:t>,</w:t>
            </w:r>
            <w:r w:rsidR="00590061">
              <w:rPr>
                <w:b/>
                <w:sz w:val="20"/>
                <w:u w:val="single"/>
              </w:rPr>
              <w:t xml:space="preserve"> </w:t>
            </w:r>
            <w:r w:rsidR="00590061" w:rsidRPr="00590061">
              <w:rPr>
                <w:b/>
                <w:sz w:val="20"/>
                <w:u w:val="single"/>
              </w:rPr>
              <w:t>and Toxic Epidermal Necrolysis</w:t>
            </w:r>
            <w:r>
              <w:rPr>
                <w:b/>
                <w:sz w:val="20"/>
              </w:rPr>
              <w:t xml:space="preserve">:  </w:t>
            </w:r>
            <w:r w:rsidR="00C10057" w:rsidRPr="00C10057">
              <w:rPr>
                <w:bCs/>
                <w:sz w:val="20"/>
              </w:rPr>
              <w:t xml:space="preserve">Withhold TAGRISSO if </w:t>
            </w:r>
            <w:r w:rsidR="00C9221C" w:rsidRPr="00EC0A6F">
              <w:rPr>
                <w:bCs/>
                <w:sz w:val="20"/>
              </w:rPr>
              <w:t xml:space="preserve">erythema multiforme major (EMM), Stevens-Johnson syndrome (SJS) </w:t>
            </w:r>
            <w:r w:rsidR="00590061">
              <w:rPr>
                <w:bCs/>
                <w:sz w:val="20"/>
              </w:rPr>
              <w:t>or</w:t>
            </w:r>
            <w:r w:rsidR="00C9221C" w:rsidRPr="00EC0A6F">
              <w:rPr>
                <w:bCs/>
                <w:sz w:val="20"/>
              </w:rPr>
              <w:t xml:space="preserve"> toxic epidermal necrolysis (TEN) </w:t>
            </w:r>
            <w:r w:rsidR="00C10057" w:rsidRPr="00C10057">
              <w:rPr>
                <w:bCs/>
                <w:sz w:val="20"/>
              </w:rPr>
              <w:t>is suspected and permanently discontinue if confirmed.</w:t>
            </w:r>
          </w:p>
          <w:p w14:paraId="1A56BC4C" w14:textId="32F4606A" w:rsidR="006D726F" w:rsidRPr="00371E23" w:rsidRDefault="00EC0A6F" w:rsidP="00371E23">
            <w:pPr>
              <w:pStyle w:val="TableParagraph"/>
              <w:numPr>
                <w:ilvl w:val="0"/>
                <w:numId w:val="12"/>
              </w:numPr>
              <w:spacing w:before="40" w:after="120"/>
              <w:ind w:left="302" w:hanging="302"/>
              <w:rPr>
                <w:bCs/>
                <w:sz w:val="20"/>
              </w:rPr>
            </w:pPr>
            <w:proofErr w:type="spellStart"/>
            <w:r w:rsidRPr="00EC0A6F">
              <w:rPr>
                <w:bCs/>
                <w:sz w:val="20"/>
              </w:rPr>
              <w:t>Postmarketing</w:t>
            </w:r>
            <w:proofErr w:type="spellEnd"/>
            <w:r w:rsidRPr="00EC0A6F">
              <w:rPr>
                <w:bCs/>
                <w:sz w:val="20"/>
              </w:rPr>
              <w:t xml:space="preserve"> cases consistent with EMM, SJS and TEN have been reported in patients receiving TAGRISSO. </w:t>
            </w:r>
          </w:p>
          <w:p w14:paraId="32BA9D2A" w14:textId="149AAAFC" w:rsidR="00F1295E" w:rsidRPr="00F1295E" w:rsidRDefault="00B82D3B" w:rsidP="00F1295E">
            <w:pPr>
              <w:pStyle w:val="TableParagraph"/>
              <w:spacing w:before="40"/>
              <w:rPr>
                <w:bCs/>
                <w:sz w:val="20"/>
              </w:rPr>
            </w:pPr>
            <w:r>
              <w:rPr>
                <w:b/>
                <w:sz w:val="20"/>
                <w:u w:val="single"/>
              </w:rPr>
              <w:t>Cutaneous Vasculitis</w:t>
            </w:r>
            <w:r>
              <w:rPr>
                <w:b/>
                <w:sz w:val="20"/>
              </w:rPr>
              <w:t>:</w:t>
            </w:r>
            <w:r>
              <w:rPr>
                <w:bCs/>
                <w:sz w:val="20"/>
              </w:rPr>
              <w:t xml:space="preserve"> </w:t>
            </w:r>
            <w:r w:rsidR="006D726F" w:rsidRPr="006D726F">
              <w:rPr>
                <w:bCs/>
                <w:sz w:val="20"/>
              </w:rPr>
              <w:t xml:space="preserve">Withhold TAGRISSO if </w:t>
            </w:r>
            <w:r w:rsidR="00F1295E" w:rsidRPr="00F1295E">
              <w:rPr>
                <w:bCs/>
                <w:sz w:val="20"/>
              </w:rPr>
              <w:t xml:space="preserve">cutaneous vasculitis is </w:t>
            </w:r>
            <w:r w:rsidR="005B7891" w:rsidRPr="005B7891">
              <w:rPr>
                <w:bCs/>
                <w:sz w:val="20"/>
              </w:rPr>
              <w:t>suspected, evaluate for systemic involvement, and consider dermatology consultation. If no other etiology can be identified, consider permanent discontinuation of TAGRISSO based on severity</w:t>
            </w:r>
            <w:r w:rsidR="00E67584">
              <w:rPr>
                <w:bCs/>
                <w:sz w:val="20"/>
              </w:rPr>
              <w:t>.</w:t>
            </w:r>
          </w:p>
          <w:p w14:paraId="54E8703B" w14:textId="675421C7" w:rsidR="00371E23" w:rsidRPr="00371E23" w:rsidRDefault="00B82D3B" w:rsidP="00371E23">
            <w:pPr>
              <w:pStyle w:val="TableParagraph"/>
              <w:numPr>
                <w:ilvl w:val="0"/>
                <w:numId w:val="24"/>
              </w:numPr>
              <w:spacing w:before="40" w:after="60"/>
              <w:ind w:left="317" w:hanging="274"/>
              <w:rPr>
                <w:bCs/>
                <w:sz w:val="20"/>
              </w:rPr>
            </w:pPr>
            <w:proofErr w:type="spellStart"/>
            <w:r>
              <w:rPr>
                <w:bCs/>
                <w:sz w:val="20"/>
              </w:rPr>
              <w:t>Postmarketing</w:t>
            </w:r>
            <w:proofErr w:type="spellEnd"/>
            <w:r>
              <w:rPr>
                <w:bCs/>
                <w:sz w:val="20"/>
              </w:rPr>
              <w:t xml:space="preserve"> cases of cutaneous vasculitis including </w:t>
            </w:r>
            <w:r w:rsidRPr="00B82D3B">
              <w:rPr>
                <w:bCs/>
                <w:sz w:val="20"/>
              </w:rPr>
              <w:t>leukocytoclastic vasculitis, urticarial vasculitis, and IgA vasculitis have been reported in patients receiving TAGRISSO</w:t>
            </w:r>
            <w:r w:rsidR="00E67584">
              <w:rPr>
                <w:bCs/>
                <w:sz w:val="20"/>
              </w:rPr>
              <w:t>.</w:t>
            </w:r>
            <w:r w:rsidR="005B7891">
              <w:rPr>
                <w:bCs/>
                <w:sz w:val="20"/>
              </w:rPr>
              <w:br/>
            </w:r>
          </w:p>
          <w:p w14:paraId="07CC3037" w14:textId="1BBE19A0" w:rsidR="004C1D0C" w:rsidRPr="008773E0" w:rsidRDefault="004C1D0C" w:rsidP="004C1D0C">
            <w:pPr>
              <w:spacing w:before="40" w:after="120"/>
              <w:ind w:left="37"/>
              <w:rPr>
                <w:sz w:val="20"/>
                <w:szCs w:val="20"/>
              </w:rPr>
            </w:pPr>
            <w:r w:rsidRPr="00067A22">
              <w:rPr>
                <w:b/>
                <w:sz w:val="20"/>
                <w:szCs w:val="20"/>
                <w:u w:val="single"/>
              </w:rPr>
              <w:t>Aplastic Anemia</w:t>
            </w:r>
            <w:r w:rsidRPr="008773E0">
              <w:rPr>
                <w:bCs/>
                <w:sz w:val="20"/>
                <w:szCs w:val="20"/>
              </w:rPr>
              <w:t xml:space="preserve">: </w:t>
            </w:r>
            <w:r w:rsidR="004C5E90" w:rsidRPr="004C5E90">
              <w:rPr>
                <w:bCs/>
                <w:sz w:val="20"/>
                <w:szCs w:val="20"/>
              </w:rPr>
              <w:t>Perform complete blood count with differential before starting TAGRISSO, periodically throughout treatment, and more frequently if indicated</w:t>
            </w:r>
            <w:r w:rsidR="004C5E90">
              <w:rPr>
                <w:bCs/>
                <w:sz w:val="20"/>
                <w:szCs w:val="20"/>
              </w:rPr>
              <w:t xml:space="preserve">. </w:t>
            </w:r>
            <w:r w:rsidRPr="008773E0">
              <w:rPr>
                <w:sz w:val="20"/>
                <w:szCs w:val="20"/>
              </w:rPr>
              <w:t xml:space="preserve">If aplastic anemia is suspected, withhold TAGRISSO and obtain a hematology consultation. If aplastic anemia is confirmed, permanently discontinue TAGRISSO.  </w:t>
            </w:r>
          </w:p>
          <w:p w14:paraId="3F626102" w14:textId="065396D3" w:rsidR="004C1D0C" w:rsidRPr="008773E0" w:rsidRDefault="004C1D0C" w:rsidP="004C1D0C">
            <w:pPr>
              <w:pStyle w:val="ListParagraph"/>
              <w:numPr>
                <w:ilvl w:val="0"/>
                <w:numId w:val="11"/>
              </w:numPr>
              <w:spacing w:before="40" w:after="120"/>
              <w:ind w:left="307" w:hanging="270"/>
              <w:rPr>
                <w:sz w:val="18"/>
                <w:szCs w:val="18"/>
              </w:rPr>
            </w:pPr>
            <w:r w:rsidRPr="008773E0">
              <w:rPr>
                <w:rFonts w:cs="Arial"/>
                <w:sz w:val="20"/>
                <w:szCs w:val="20"/>
              </w:rPr>
              <w:t>Aplastic anemia has been reported in patients treated with TAGRISSO in clinical trials (0.0</w:t>
            </w:r>
            <w:r w:rsidR="00D10836">
              <w:rPr>
                <w:rFonts w:cs="Arial"/>
                <w:sz w:val="20"/>
                <w:szCs w:val="20"/>
              </w:rPr>
              <w:t>6</w:t>
            </w:r>
            <w:r w:rsidRPr="008773E0">
              <w:rPr>
                <w:rFonts w:cs="Arial"/>
                <w:sz w:val="20"/>
                <w:szCs w:val="20"/>
              </w:rPr>
              <w:t xml:space="preserve">% of </w:t>
            </w:r>
            <w:r w:rsidR="0027518A">
              <w:rPr>
                <w:rFonts w:cs="Arial"/>
                <w:sz w:val="20"/>
                <w:szCs w:val="20"/>
              </w:rPr>
              <w:t>1813</w:t>
            </w:r>
            <w:r w:rsidRPr="008773E0">
              <w:rPr>
                <w:rFonts w:cs="Arial"/>
                <w:sz w:val="20"/>
                <w:szCs w:val="20"/>
              </w:rPr>
              <w:t xml:space="preserve">) and </w:t>
            </w:r>
            <w:proofErr w:type="spellStart"/>
            <w:r w:rsidRPr="008773E0">
              <w:rPr>
                <w:rFonts w:cs="Arial"/>
                <w:sz w:val="20"/>
                <w:szCs w:val="20"/>
              </w:rPr>
              <w:t>postmarketing</w:t>
            </w:r>
            <w:proofErr w:type="spellEnd"/>
            <w:r w:rsidRPr="008773E0">
              <w:rPr>
                <w:rFonts w:cs="Arial"/>
                <w:sz w:val="20"/>
                <w:szCs w:val="20"/>
              </w:rPr>
              <w:t>.  Some cases had a fatal outcome.  Inform patients of the signs and symptoms of aplastic anemia including but not limited to, new or persistent fevers, bruising, bleeding, and pallor</w:t>
            </w:r>
            <w:r w:rsidR="00017B68">
              <w:rPr>
                <w:rFonts w:cs="Arial"/>
                <w:sz w:val="20"/>
                <w:szCs w:val="20"/>
              </w:rPr>
              <w:t>.</w:t>
            </w:r>
          </w:p>
          <w:p w14:paraId="60A3DE22" w14:textId="70D18DD7" w:rsidR="00CA633A" w:rsidRPr="0072424B" w:rsidRDefault="00CA633A" w:rsidP="00CA633A">
            <w:pPr>
              <w:pStyle w:val="TableParagraph"/>
              <w:spacing w:before="40"/>
              <w:rPr>
                <w:bCs/>
                <w:sz w:val="20"/>
              </w:rPr>
            </w:pPr>
            <w:r w:rsidRPr="00966B48">
              <w:rPr>
                <w:b/>
                <w:sz w:val="20"/>
                <w:u w:val="single"/>
              </w:rPr>
              <w:t>Embryo-Fetal Toxicity</w:t>
            </w:r>
            <w:r w:rsidRPr="00CA633A">
              <w:rPr>
                <w:b/>
                <w:sz w:val="20"/>
              </w:rPr>
              <w:t xml:space="preserve">: </w:t>
            </w:r>
            <w:r w:rsidRPr="0072424B">
              <w:rPr>
                <w:bCs/>
                <w:sz w:val="20"/>
              </w:rPr>
              <w:t>Verify pregnancy status of females of reproductive potential prior to initiating TAGRISSO</w:t>
            </w:r>
            <w:r w:rsidR="00017B68">
              <w:rPr>
                <w:bCs/>
                <w:sz w:val="20"/>
              </w:rPr>
              <w:t>.</w:t>
            </w:r>
          </w:p>
          <w:p w14:paraId="098D9A71" w14:textId="19E7E890" w:rsidR="00CA633A" w:rsidRDefault="00CA633A" w:rsidP="00FC170B">
            <w:pPr>
              <w:pStyle w:val="TableParagraph"/>
              <w:numPr>
                <w:ilvl w:val="0"/>
                <w:numId w:val="12"/>
              </w:numPr>
              <w:spacing w:before="40"/>
              <w:ind w:left="317" w:hanging="274"/>
              <w:rPr>
                <w:bCs/>
                <w:sz w:val="20"/>
              </w:rPr>
            </w:pPr>
            <w:r w:rsidRPr="00CA633A">
              <w:rPr>
                <w:bCs/>
                <w:sz w:val="20"/>
              </w:rPr>
              <w:t>Advise pregnant women of the potential risk to a fetus</w:t>
            </w:r>
            <w:r w:rsidR="00017B68">
              <w:rPr>
                <w:bCs/>
                <w:sz w:val="20"/>
              </w:rPr>
              <w:t>.</w:t>
            </w:r>
          </w:p>
          <w:p w14:paraId="186A9D98" w14:textId="323B646C" w:rsidR="00CA633A" w:rsidRDefault="00CA633A" w:rsidP="00126FC0">
            <w:pPr>
              <w:pStyle w:val="TableParagraph"/>
              <w:numPr>
                <w:ilvl w:val="0"/>
                <w:numId w:val="12"/>
              </w:numPr>
              <w:spacing w:before="40"/>
              <w:ind w:left="307" w:hanging="270"/>
              <w:rPr>
                <w:bCs/>
                <w:sz w:val="20"/>
              </w:rPr>
            </w:pPr>
            <w:r w:rsidRPr="00CA633A">
              <w:rPr>
                <w:bCs/>
                <w:sz w:val="20"/>
              </w:rPr>
              <w:t>Advise females of</w:t>
            </w:r>
            <w:r>
              <w:rPr>
                <w:bCs/>
                <w:sz w:val="20"/>
              </w:rPr>
              <w:t xml:space="preserve"> </w:t>
            </w:r>
            <w:r w:rsidRPr="00CA633A">
              <w:rPr>
                <w:bCs/>
                <w:sz w:val="20"/>
              </w:rPr>
              <w:t>reproductive potential to use effective contraception during treatment with TAGRISSO and for 6 weeks after the final dose</w:t>
            </w:r>
            <w:r w:rsidR="00017B68">
              <w:rPr>
                <w:bCs/>
                <w:sz w:val="20"/>
              </w:rPr>
              <w:t>.</w:t>
            </w:r>
            <w:r w:rsidRPr="00CA633A">
              <w:rPr>
                <w:bCs/>
                <w:sz w:val="20"/>
              </w:rPr>
              <w:t xml:space="preserve"> </w:t>
            </w:r>
          </w:p>
          <w:p w14:paraId="4D2CA111" w14:textId="2E2BB081" w:rsidR="0089291F" w:rsidRPr="0089291F" w:rsidRDefault="00CA633A" w:rsidP="00FC170B">
            <w:pPr>
              <w:pStyle w:val="TableParagraph"/>
              <w:numPr>
                <w:ilvl w:val="0"/>
                <w:numId w:val="12"/>
              </w:numPr>
              <w:spacing w:before="40"/>
              <w:ind w:left="302" w:hanging="302"/>
              <w:rPr>
                <w:bCs/>
                <w:sz w:val="20"/>
              </w:rPr>
            </w:pPr>
            <w:r w:rsidRPr="00CA633A">
              <w:rPr>
                <w:bCs/>
                <w:sz w:val="20"/>
              </w:rPr>
              <w:t>Advise males with female</w:t>
            </w:r>
            <w:r>
              <w:rPr>
                <w:bCs/>
                <w:sz w:val="20"/>
              </w:rPr>
              <w:t xml:space="preserve"> </w:t>
            </w:r>
            <w:r w:rsidRPr="00CA633A">
              <w:rPr>
                <w:bCs/>
                <w:sz w:val="20"/>
              </w:rPr>
              <w:t>partners of reproductive potential to use effective contraception for 4 months after the final dose</w:t>
            </w:r>
            <w:r w:rsidR="00E67584" w:rsidRPr="00E67584">
              <w:rPr>
                <w:bCs/>
                <w:color w:val="000000" w:themeColor="text1"/>
                <w:sz w:val="20"/>
              </w:rPr>
              <w:t>.</w:t>
            </w:r>
          </w:p>
        </w:tc>
      </w:tr>
    </w:tbl>
    <w:p w14:paraId="62A282C5" w14:textId="1933AED3" w:rsidR="0089291F" w:rsidRDefault="0089291F" w:rsidP="0089291F">
      <w:pPr>
        <w:rPr>
          <w:sz w:val="20"/>
        </w:rPr>
      </w:pPr>
    </w:p>
    <w:tbl>
      <w:tblPr>
        <w:tblW w:w="0" w:type="auto"/>
        <w:tblInd w:w="270" w:type="dxa"/>
        <w:tblLayout w:type="fixed"/>
        <w:tblCellMar>
          <w:left w:w="0" w:type="dxa"/>
          <w:right w:w="0" w:type="dxa"/>
        </w:tblCellMar>
        <w:tblLook w:val="01E0" w:firstRow="1" w:lastRow="1" w:firstColumn="1" w:lastColumn="1" w:noHBand="0" w:noVBand="0"/>
      </w:tblPr>
      <w:tblGrid>
        <w:gridCol w:w="2880"/>
        <w:gridCol w:w="7290"/>
      </w:tblGrid>
      <w:tr w:rsidR="0089291F" w14:paraId="11DB0C1F" w14:textId="77777777">
        <w:trPr>
          <w:trHeight w:val="242"/>
        </w:trPr>
        <w:tc>
          <w:tcPr>
            <w:tcW w:w="2880" w:type="dxa"/>
            <w:tcMar>
              <w:left w:w="144" w:type="dxa"/>
              <w:right w:w="144" w:type="dxa"/>
            </w:tcMar>
          </w:tcPr>
          <w:p w14:paraId="0F7FAD90" w14:textId="7829CB28" w:rsidR="0089291F" w:rsidRDefault="0089291F">
            <w:pPr>
              <w:pStyle w:val="TableParagraph"/>
              <w:spacing w:line="203" w:lineRule="exact"/>
              <w:ind w:left="-53"/>
              <w:rPr>
                <w:b/>
                <w:sz w:val="20"/>
              </w:rPr>
            </w:pPr>
            <w:r w:rsidRPr="0089291F">
              <w:rPr>
                <w:b/>
                <w:color w:val="DD8046"/>
                <w:sz w:val="20"/>
              </w:rPr>
              <w:t>Use in Specific Populations</w:t>
            </w:r>
          </w:p>
        </w:tc>
        <w:tc>
          <w:tcPr>
            <w:tcW w:w="7290" w:type="dxa"/>
            <w:tcMar>
              <w:left w:w="144" w:type="dxa"/>
              <w:right w:w="144" w:type="dxa"/>
            </w:tcMar>
          </w:tcPr>
          <w:p w14:paraId="303239AA" w14:textId="77777777" w:rsidR="0089291F" w:rsidRDefault="0089291F">
            <w:pPr>
              <w:pStyle w:val="TableParagraph"/>
              <w:spacing w:line="203" w:lineRule="exact"/>
              <w:ind w:left="-53"/>
              <w:rPr>
                <w:b/>
                <w:sz w:val="20"/>
              </w:rPr>
            </w:pPr>
            <w:r>
              <w:rPr>
                <w:b/>
                <w:color w:val="DD8046"/>
                <w:sz w:val="20"/>
              </w:rPr>
              <w:t>Comments</w:t>
            </w:r>
          </w:p>
        </w:tc>
      </w:tr>
      <w:tr w:rsidR="0089291F" w14:paraId="1775B251" w14:textId="77777777" w:rsidTr="00837356">
        <w:trPr>
          <w:trHeight w:val="630"/>
        </w:trPr>
        <w:tc>
          <w:tcPr>
            <w:tcW w:w="2880" w:type="dxa"/>
            <w:shd w:val="clear" w:color="auto" w:fill="F1F1F1"/>
            <w:tcMar>
              <w:left w:w="144" w:type="dxa"/>
              <w:right w:w="144" w:type="dxa"/>
            </w:tcMar>
          </w:tcPr>
          <w:p w14:paraId="1B6CC12E" w14:textId="1A36BE27" w:rsidR="0089291F" w:rsidRDefault="0089291F">
            <w:pPr>
              <w:pStyle w:val="TableParagraph"/>
              <w:ind w:left="180" w:firstLine="52"/>
              <w:rPr>
                <w:rFonts w:ascii="Times New Roman"/>
                <w:sz w:val="18"/>
              </w:rPr>
            </w:pPr>
          </w:p>
        </w:tc>
        <w:tc>
          <w:tcPr>
            <w:tcW w:w="7290" w:type="dxa"/>
            <w:shd w:val="clear" w:color="auto" w:fill="F1F1F1"/>
            <w:tcMar>
              <w:left w:w="144" w:type="dxa"/>
              <w:right w:w="144" w:type="dxa"/>
            </w:tcMar>
          </w:tcPr>
          <w:p w14:paraId="363BB2DD" w14:textId="51A9D1F7" w:rsidR="00966B48" w:rsidRPr="00313CC6" w:rsidRDefault="0089291F" w:rsidP="001A521B">
            <w:pPr>
              <w:pStyle w:val="TableParagraph"/>
              <w:ind w:left="-58"/>
              <w:rPr>
                <w:b/>
                <w:sz w:val="20"/>
              </w:rPr>
            </w:pPr>
            <w:r w:rsidRPr="00966B48">
              <w:rPr>
                <w:b/>
                <w:sz w:val="20"/>
                <w:u w:val="single"/>
              </w:rPr>
              <w:t>Pregnancy</w:t>
            </w:r>
            <w:r w:rsidRPr="0089291F">
              <w:rPr>
                <w:b/>
                <w:sz w:val="20"/>
              </w:rPr>
              <w:t>:</w:t>
            </w:r>
            <w:r w:rsidRPr="0089291F">
              <w:rPr>
                <w:bCs/>
                <w:sz w:val="20"/>
              </w:rPr>
              <w:t xml:space="preserve"> </w:t>
            </w:r>
          </w:p>
          <w:p w14:paraId="2B49A81F" w14:textId="3D533FA2" w:rsidR="0089291F" w:rsidRDefault="0089291F" w:rsidP="00FC170B">
            <w:pPr>
              <w:pStyle w:val="TableParagraph"/>
              <w:numPr>
                <w:ilvl w:val="0"/>
                <w:numId w:val="15"/>
              </w:numPr>
              <w:spacing w:before="40"/>
              <w:ind w:left="216" w:hanging="274"/>
              <w:rPr>
                <w:bCs/>
                <w:sz w:val="20"/>
              </w:rPr>
            </w:pPr>
            <w:r w:rsidRPr="00966B48">
              <w:rPr>
                <w:bCs/>
                <w:sz w:val="20"/>
              </w:rPr>
              <w:t xml:space="preserve">Based on data from animal studies and its mechanism of action, </w:t>
            </w:r>
            <w:r w:rsidR="00966B48" w:rsidRPr="00966B48">
              <w:rPr>
                <w:bCs/>
                <w:sz w:val="20"/>
              </w:rPr>
              <w:t>T</w:t>
            </w:r>
            <w:r w:rsidRPr="00966B48">
              <w:rPr>
                <w:bCs/>
                <w:sz w:val="20"/>
              </w:rPr>
              <w:t>AGRISSO can cause fetal harm when administered to a pregnant woman. There are no available data on TAGRISSO use in pregnant women.</w:t>
            </w:r>
            <w:r w:rsidR="00966B48" w:rsidRPr="00966B48">
              <w:rPr>
                <w:bCs/>
                <w:sz w:val="20"/>
              </w:rPr>
              <w:t xml:space="preserve"> </w:t>
            </w:r>
            <w:r w:rsidRPr="00966B48">
              <w:rPr>
                <w:bCs/>
                <w:sz w:val="20"/>
              </w:rPr>
              <w:t xml:space="preserve">Administration of </w:t>
            </w:r>
            <w:r w:rsidR="002303A8">
              <w:rPr>
                <w:bCs/>
                <w:sz w:val="20"/>
              </w:rPr>
              <w:t>TAGRISSO</w:t>
            </w:r>
            <w:r w:rsidRPr="00966B48">
              <w:rPr>
                <w:bCs/>
                <w:sz w:val="20"/>
              </w:rPr>
              <w:t xml:space="preserve"> to pregnant rats was associated with</w:t>
            </w:r>
            <w:r w:rsidR="00966B48" w:rsidRPr="00966B48">
              <w:rPr>
                <w:bCs/>
                <w:sz w:val="20"/>
              </w:rPr>
              <w:t xml:space="preserve"> </w:t>
            </w:r>
            <w:proofErr w:type="spellStart"/>
            <w:r w:rsidRPr="00966B48">
              <w:rPr>
                <w:bCs/>
                <w:sz w:val="20"/>
              </w:rPr>
              <w:t>embryolethality</w:t>
            </w:r>
            <w:proofErr w:type="spellEnd"/>
            <w:r w:rsidRPr="00966B48">
              <w:rPr>
                <w:bCs/>
                <w:sz w:val="20"/>
              </w:rPr>
              <w:t xml:space="preserve"> and reduced fetal growth at plasma exposures 1.5 times the exposure at the recommended clinical dose.</w:t>
            </w:r>
            <w:r w:rsidR="00451AB3">
              <w:rPr>
                <w:bCs/>
                <w:sz w:val="20"/>
              </w:rPr>
              <w:t xml:space="preserve"> </w:t>
            </w:r>
            <w:r w:rsidR="00451AB3" w:rsidRPr="00451AB3">
              <w:rPr>
                <w:bCs/>
                <w:sz w:val="20"/>
              </w:rPr>
              <w:t xml:space="preserve">Advise </w:t>
            </w:r>
            <w:r w:rsidR="00451AB3" w:rsidRPr="00451AB3">
              <w:rPr>
                <w:bCs/>
                <w:sz w:val="20"/>
              </w:rPr>
              <w:lastRenderedPageBreak/>
              <w:t>pregnant women of the potential risk to a fetus</w:t>
            </w:r>
            <w:r w:rsidR="00D95727">
              <w:rPr>
                <w:bCs/>
                <w:sz w:val="20"/>
              </w:rPr>
              <w:t>.</w:t>
            </w:r>
          </w:p>
          <w:p w14:paraId="43C36CF3" w14:textId="53DCDDD4" w:rsidR="0089291F" w:rsidRPr="00966B48" w:rsidRDefault="00966B48" w:rsidP="001A521B">
            <w:pPr>
              <w:pStyle w:val="TableParagraph"/>
              <w:numPr>
                <w:ilvl w:val="0"/>
                <w:numId w:val="15"/>
              </w:numPr>
              <w:spacing w:before="40" w:after="40"/>
              <w:ind w:left="216" w:hanging="274"/>
              <w:rPr>
                <w:bCs/>
                <w:sz w:val="20"/>
              </w:rPr>
            </w:pPr>
            <w:r w:rsidRPr="00966B48">
              <w:rPr>
                <w:bCs/>
                <w:sz w:val="20"/>
              </w:rPr>
              <w:t xml:space="preserve">In </w:t>
            </w:r>
            <w:r w:rsidR="0089291F" w:rsidRPr="00966B48">
              <w:rPr>
                <w:bCs/>
                <w:sz w:val="20"/>
              </w:rPr>
              <w:t>the US general population, the estimated background risk of major birth defects and miscarriage in clinically recognized pregnancies is 2% to 4% and 15% to 20%, respectively</w:t>
            </w:r>
            <w:r w:rsidR="00435BF7">
              <w:rPr>
                <w:bCs/>
                <w:sz w:val="20"/>
              </w:rPr>
              <w:t>.</w:t>
            </w:r>
          </w:p>
          <w:p w14:paraId="3B378F41" w14:textId="0B6FED82" w:rsidR="00DD39B2" w:rsidRDefault="00313CC6" w:rsidP="00DD39B2">
            <w:pPr>
              <w:pStyle w:val="TableParagraph"/>
              <w:spacing w:before="40"/>
              <w:ind w:left="-58"/>
              <w:rPr>
                <w:bCs/>
                <w:sz w:val="20"/>
              </w:rPr>
            </w:pPr>
            <w:r>
              <w:rPr>
                <w:b/>
                <w:sz w:val="20"/>
                <w:u w:val="single"/>
              </w:rPr>
              <w:t>Lactation</w:t>
            </w:r>
            <w:r>
              <w:rPr>
                <w:b/>
                <w:sz w:val="20"/>
              </w:rPr>
              <w:t>:</w:t>
            </w:r>
            <w:r>
              <w:rPr>
                <w:bCs/>
                <w:sz w:val="20"/>
              </w:rPr>
              <w:t xml:space="preserve"> </w:t>
            </w:r>
          </w:p>
          <w:p w14:paraId="5D7F7672" w14:textId="3DBA6856" w:rsidR="00313CC6" w:rsidRPr="00313CC6" w:rsidRDefault="00313CC6" w:rsidP="001A521B">
            <w:pPr>
              <w:pStyle w:val="TableParagraph"/>
              <w:numPr>
                <w:ilvl w:val="0"/>
                <w:numId w:val="15"/>
              </w:numPr>
              <w:spacing w:before="40" w:after="60"/>
              <w:ind w:left="216" w:hanging="274"/>
              <w:rPr>
                <w:bCs/>
                <w:sz w:val="20"/>
              </w:rPr>
            </w:pPr>
            <w:r>
              <w:rPr>
                <w:bCs/>
                <w:sz w:val="20"/>
              </w:rPr>
              <w:t xml:space="preserve">Due to the potential for serious adverse reactions in breastfed infants from </w:t>
            </w:r>
            <w:proofErr w:type="spellStart"/>
            <w:r>
              <w:rPr>
                <w:bCs/>
                <w:sz w:val="20"/>
              </w:rPr>
              <w:t>osimertinib</w:t>
            </w:r>
            <w:proofErr w:type="spellEnd"/>
            <w:r>
              <w:rPr>
                <w:bCs/>
                <w:sz w:val="20"/>
              </w:rPr>
              <w:t>, advise women not to breastfeed during treatment with TAGRISSO and for 2 weeks after the final dose</w:t>
            </w:r>
            <w:r w:rsidR="00167B62">
              <w:rPr>
                <w:bCs/>
                <w:sz w:val="20"/>
              </w:rPr>
              <w:t>.</w:t>
            </w:r>
          </w:p>
          <w:p w14:paraId="7DEFD857" w14:textId="1870B439" w:rsidR="00CB1DC4" w:rsidRDefault="00CB1DC4" w:rsidP="00CB1DC4">
            <w:pPr>
              <w:pStyle w:val="TableParagraph"/>
              <w:spacing w:before="40"/>
              <w:ind w:left="-58"/>
              <w:rPr>
                <w:bCs/>
                <w:sz w:val="20"/>
              </w:rPr>
            </w:pPr>
            <w:r>
              <w:rPr>
                <w:b/>
                <w:sz w:val="20"/>
                <w:u w:val="single"/>
              </w:rPr>
              <w:t>Females and Males of Reproductive Potential</w:t>
            </w:r>
          </w:p>
          <w:p w14:paraId="754B7524" w14:textId="3D8D0F03" w:rsidR="00CB1DC4" w:rsidRDefault="00126FC0" w:rsidP="00FC170B">
            <w:pPr>
              <w:pStyle w:val="TableParagraph"/>
              <w:numPr>
                <w:ilvl w:val="0"/>
                <w:numId w:val="15"/>
              </w:numPr>
              <w:spacing w:before="40"/>
              <w:ind w:left="216" w:hanging="274"/>
              <w:rPr>
                <w:bCs/>
                <w:sz w:val="20"/>
              </w:rPr>
            </w:pPr>
            <w:r>
              <w:rPr>
                <w:bCs/>
                <w:sz w:val="20"/>
              </w:rPr>
              <w:t>Verify the pregnancy status of females of reproductive potential prior to initiating TAGRISSO</w:t>
            </w:r>
            <w:r w:rsidR="007B55A7">
              <w:rPr>
                <w:bCs/>
                <w:sz w:val="20"/>
              </w:rPr>
              <w:t>.</w:t>
            </w:r>
          </w:p>
          <w:p w14:paraId="6EE00FCA" w14:textId="237118DE" w:rsidR="00043FDF" w:rsidRPr="00043FDF" w:rsidRDefault="00043FDF" w:rsidP="001A521B">
            <w:pPr>
              <w:pStyle w:val="TableParagraph"/>
              <w:numPr>
                <w:ilvl w:val="0"/>
                <w:numId w:val="15"/>
              </w:numPr>
              <w:spacing w:before="20"/>
              <w:ind w:left="216" w:hanging="274"/>
              <w:rPr>
                <w:bCs/>
                <w:i/>
                <w:iCs/>
                <w:sz w:val="20"/>
              </w:rPr>
            </w:pPr>
            <w:r w:rsidRPr="00043FDF">
              <w:rPr>
                <w:bCs/>
                <w:i/>
                <w:iCs/>
                <w:sz w:val="20"/>
              </w:rPr>
              <w:t>Contraception</w:t>
            </w:r>
          </w:p>
          <w:p w14:paraId="1AB8BF68" w14:textId="4F6BB3AA" w:rsidR="006179DA" w:rsidRDefault="006179DA" w:rsidP="00FC170B">
            <w:pPr>
              <w:pStyle w:val="TableParagraph"/>
              <w:numPr>
                <w:ilvl w:val="1"/>
                <w:numId w:val="23"/>
              </w:numPr>
              <w:ind w:left="403" w:hanging="187"/>
              <w:rPr>
                <w:bCs/>
                <w:sz w:val="20"/>
              </w:rPr>
            </w:pPr>
            <w:r w:rsidRPr="00CA633A">
              <w:rPr>
                <w:bCs/>
                <w:sz w:val="20"/>
              </w:rPr>
              <w:t>Advise females of</w:t>
            </w:r>
            <w:r>
              <w:rPr>
                <w:bCs/>
                <w:sz w:val="20"/>
              </w:rPr>
              <w:t xml:space="preserve"> </w:t>
            </w:r>
            <w:r w:rsidRPr="00CA633A">
              <w:rPr>
                <w:bCs/>
                <w:sz w:val="20"/>
              </w:rPr>
              <w:t>reproductive potential to use effective contraception during treatment with TAGRISSO and for 6 weeks after the final dose</w:t>
            </w:r>
            <w:r w:rsidR="007B55A7">
              <w:rPr>
                <w:bCs/>
                <w:sz w:val="20"/>
              </w:rPr>
              <w:t>.</w:t>
            </w:r>
          </w:p>
          <w:p w14:paraId="5D841811" w14:textId="3494E6EC" w:rsidR="006179DA" w:rsidRDefault="006179DA" w:rsidP="00043FDF">
            <w:pPr>
              <w:pStyle w:val="TableParagraph"/>
              <w:numPr>
                <w:ilvl w:val="1"/>
                <w:numId w:val="23"/>
              </w:numPr>
              <w:spacing w:before="40"/>
              <w:ind w:left="397" w:hanging="180"/>
              <w:rPr>
                <w:bCs/>
                <w:sz w:val="20"/>
              </w:rPr>
            </w:pPr>
            <w:r>
              <w:rPr>
                <w:bCs/>
                <w:sz w:val="20"/>
              </w:rPr>
              <w:t xml:space="preserve"> </w:t>
            </w:r>
            <w:r w:rsidRPr="00CA633A">
              <w:rPr>
                <w:bCs/>
                <w:sz w:val="20"/>
              </w:rPr>
              <w:t>Advise males with female</w:t>
            </w:r>
            <w:r>
              <w:rPr>
                <w:bCs/>
                <w:sz w:val="20"/>
              </w:rPr>
              <w:t xml:space="preserve"> </w:t>
            </w:r>
            <w:r w:rsidRPr="00CA633A">
              <w:rPr>
                <w:bCs/>
                <w:sz w:val="20"/>
              </w:rPr>
              <w:t xml:space="preserve">partners of reproductive potential to use effective contraception </w:t>
            </w:r>
            <w:r w:rsidR="00FC170B">
              <w:rPr>
                <w:bCs/>
                <w:sz w:val="20"/>
              </w:rPr>
              <w:t xml:space="preserve">during and </w:t>
            </w:r>
            <w:r w:rsidRPr="00CA633A">
              <w:rPr>
                <w:bCs/>
                <w:sz w:val="20"/>
              </w:rPr>
              <w:t>for 4 months after the final dose</w:t>
            </w:r>
            <w:r w:rsidR="007B55A7">
              <w:rPr>
                <w:bCs/>
                <w:sz w:val="20"/>
              </w:rPr>
              <w:t>.</w:t>
            </w:r>
          </w:p>
          <w:p w14:paraId="7EADA9AE" w14:textId="78328F57" w:rsidR="006179DA" w:rsidRPr="003D71E5" w:rsidRDefault="00043FDF" w:rsidP="001A521B">
            <w:pPr>
              <w:pStyle w:val="TableParagraph"/>
              <w:numPr>
                <w:ilvl w:val="0"/>
                <w:numId w:val="15"/>
              </w:numPr>
              <w:spacing w:before="20"/>
              <w:ind w:left="216" w:hanging="274"/>
              <w:rPr>
                <w:bCs/>
                <w:i/>
                <w:iCs/>
                <w:sz w:val="20"/>
              </w:rPr>
            </w:pPr>
            <w:r w:rsidRPr="003D71E5">
              <w:rPr>
                <w:bCs/>
                <w:i/>
                <w:iCs/>
                <w:sz w:val="20"/>
              </w:rPr>
              <w:t>Infertility</w:t>
            </w:r>
          </w:p>
          <w:p w14:paraId="67B25B1B" w14:textId="1640586D" w:rsidR="00043FDF" w:rsidRDefault="00043FDF" w:rsidP="00FC170B">
            <w:pPr>
              <w:pStyle w:val="TableParagraph"/>
              <w:numPr>
                <w:ilvl w:val="1"/>
                <w:numId w:val="15"/>
              </w:numPr>
              <w:ind w:left="403" w:hanging="187"/>
              <w:rPr>
                <w:bCs/>
                <w:sz w:val="20"/>
              </w:rPr>
            </w:pPr>
            <w:r>
              <w:rPr>
                <w:bCs/>
                <w:sz w:val="20"/>
              </w:rPr>
              <w:t>Based on animal studies, TAGRISSO may impair fertility in females and males of reproductive potential</w:t>
            </w:r>
            <w:r w:rsidR="007B55A7">
              <w:rPr>
                <w:bCs/>
                <w:sz w:val="20"/>
              </w:rPr>
              <w:t>.</w:t>
            </w:r>
          </w:p>
          <w:p w14:paraId="1CB05076" w14:textId="71D868FB" w:rsidR="00043FDF" w:rsidRPr="00126FC0" w:rsidRDefault="00043FDF" w:rsidP="001A521B">
            <w:pPr>
              <w:pStyle w:val="TableParagraph"/>
              <w:numPr>
                <w:ilvl w:val="1"/>
                <w:numId w:val="15"/>
              </w:numPr>
              <w:spacing w:before="40" w:after="60"/>
              <w:ind w:left="403" w:hanging="187"/>
              <w:rPr>
                <w:bCs/>
                <w:sz w:val="20"/>
              </w:rPr>
            </w:pPr>
            <w:r>
              <w:rPr>
                <w:bCs/>
                <w:sz w:val="20"/>
              </w:rPr>
              <w:t>The effects on female fertility showed a trend toward reversibility. It is not known whether the effects on male fertility are reversible</w:t>
            </w:r>
            <w:r w:rsidR="007B55A7">
              <w:rPr>
                <w:bCs/>
                <w:sz w:val="20"/>
              </w:rPr>
              <w:t>.</w:t>
            </w:r>
          </w:p>
          <w:p w14:paraId="6AD9E9E0" w14:textId="23AA358A" w:rsidR="00DD39B2" w:rsidRDefault="0089291F" w:rsidP="003752F7">
            <w:pPr>
              <w:pStyle w:val="TableParagraph"/>
              <w:spacing w:before="40"/>
              <w:ind w:left="-58"/>
              <w:rPr>
                <w:bCs/>
                <w:sz w:val="20"/>
              </w:rPr>
            </w:pPr>
            <w:r w:rsidRPr="00966B48">
              <w:rPr>
                <w:b/>
                <w:sz w:val="20"/>
                <w:u w:val="single"/>
              </w:rPr>
              <w:t>Pediatric Use</w:t>
            </w:r>
            <w:r w:rsidRPr="00966B48">
              <w:rPr>
                <w:b/>
                <w:sz w:val="20"/>
              </w:rPr>
              <w:t>:</w:t>
            </w:r>
            <w:r w:rsidRPr="0089291F">
              <w:rPr>
                <w:bCs/>
                <w:sz w:val="20"/>
              </w:rPr>
              <w:t xml:space="preserve"> </w:t>
            </w:r>
          </w:p>
          <w:p w14:paraId="44EE23B2" w14:textId="6785AF84" w:rsidR="0089291F" w:rsidRPr="0089291F" w:rsidRDefault="0089291F" w:rsidP="00FC170B">
            <w:pPr>
              <w:pStyle w:val="TableParagraph"/>
              <w:numPr>
                <w:ilvl w:val="0"/>
                <w:numId w:val="15"/>
              </w:numPr>
              <w:spacing w:before="40"/>
              <w:ind w:left="216" w:hanging="274"/>
              <w:rPr>
                <w:bCs/>
                <w:sz w:val="20"/>
              </w:rPr>
            </w:pPr>
            <w:r w:rsidRPr="0089291F">
              <w:rPr>
                <w:bCs/>
                <w:sz w:val="20"/>
              </w:rPr>
              <w:t>The safety and effectiveness of TAGRISSO in pediatric patients have not been established</w:t>
            </w:r>
            <w:r w:rsidR="007B55A7">
              <w:rPr>
                <w:bCs/>
                <w:sz w:val="20"/>
              </w:rPr>
              <w:t>.</w:t>
            </w:r>
          </w:p>
          <w:p w14:paraId="7EDC3E19" w14:textId="204CE4D3" w:rsidR="00DD39B2" w:rsidRDefault="0089291F" w:rsidP="001A521B">
            <w:pPr>
              <w:pStyle w:val="TableParagraph"/>
              <w:spacing w:before="60"/>
              <w:ind w:left="-58"/>
              <w:rPr>
                <w:bCs/>
                <w:sz w:val="20"/>
              </w:rPr>
            </w:pPr>
            <w:r w:rsidRPr="00313CC6">
              <w:rPr>
                <w:b/>
                <w:sz w:val="20"/>
                <w:u w:val="single"/>
              </w:rPr>
              <w:t>Geriatric Use</w:t>
            </w:r>
            <w:r w:rsidRPr="00313CC6">
              <w:rPr>
                <w:b/>
                <w:sz w:val="20"/>
              </w:rPr>
              <w:t>:</w:t>
            </w:r>
            <w:r w:rsidRPr="0089291F">
              <w:rPr>
                <w:bCs/>
                <w:sz w:val="20"/>
              </w:rPr>
              <w:t xml:space="preserve"> </w:t>
            </w:r>
          </w:p>
          <w:p w14:paraId="12B7AC20" w14:textId="6BC7DA8A" w:rsidR="005A1E6F" w:rsidRPr="005A1E6F" w:rsidRDefault="005A1E6F" w:rsidP="005A1E6F">
            <w:pPr>
              <w:pStyle w:val="TableParagraph"/>
              <w:numPr>
                <w:ilvl w:val="0"/>
                <w:numId w:val="15"/>
              </w:numPr>
              <w:spacing w:before="40"/>
              <w:ind w:left="217" w:hanging="270"/>
              <w:rPr>
                <w:bCs/>
                <w:sz w:val="20"/>
              </w:rPr>
            </w:pPr>
            <w:r w:rsidRPr="005A1E6F">
              <w:rPr>
                <w:bCs/>
                <w:sz w:val="20"/>
              </w:rPr>
              <w:t xml:space="preserve">Of the 276 patients with EGFR exon 19 deletion or exon 21 L858R mutation-positive, locally </w:t>
            </w:r>
            <w:proofErr w:type="gramStart"/>
            <w:r w:rsidRPr="005A1E6F">
              <w:rPr>
                <w:bCs/>
                <w:sz w:val="20"/>
              </w:rPr>
              <w:t>advanced</w:t>
            </w:r>
            <w:proofErr w:type="gramEnd"/>
            <w:r>
              <w:rPr>
                <w:bCs/>
                <w:sz w:val="20"/>
              </w:rPr>
              <w:t xml:space="preserve"> </w:t>
            </w:r>
            <w:r w:rsidRPr="005A1E6F">
              <w:rPr>
                <w:bCs/>
                <w:sz w:val="20"/>
              </w:rPr>
              <w:t>or metastatic NSCLC treated with TAGRISSO in combination with pemetrexed and platinum-based</w:t>
            </w:r>
            <w:r>
              <w:rPr>
                <w:bCs/>
                <w:sz w:val="20"/>
              </w:rPr>
              <w:t xml:space="preserve"> </w:t>
            </w:r>
            <w:r w:rsidRPr="005A1E6F">
              <w:rPr>
                <w:bCs/>
                <w:sz w:val="20"/>
              </w:rPr>
              <w:t>chemotherapy, 104 patients were ≥65 years and 23 patients were ≥75 years of age</w:t>
            </w:r>
            <w:r>
              <w:rPr>
                <w:bCs/>
                <w:sz w:val="20"/>
              </w:rPr>
              <w:t>.</w:t>
            </w:r>
          </w:p>
          <w:p w14:paraId="0AE334EC" w14:textId="25F6153F" w:rsidR="00AB7481" w:rsidRDefault="005A1E6F" w:rsidP="005A1E6F">
            <w:pPr>
              <w:pStyle w:val="TableParagraph"/>
              <w:numPr>
                <w:ilvl w:val="0"/>
                <w:numId w:val="15"/>
              </w:numPr>
              <w:spacing w:before="40"/>
              <w:ind w:left="217" w:hanging="270"/>
              <w:rPr>
                <w:bCs/>
                <w:sz w:val="20"/>
              </w:rPr>
            </w:pPr>
            <w:r w:rsidRPr="005A1E6F">
              <w:rPr>
                <w:bCs/>
                <w:sz w:val="20"/>
              </w:rPr>
              <w:t>Exploratory analysis suggests a higher incidence of Grade 3 or higher adverse reactions (68% vs</w:t>
            </w:r>
            <w:r w:rsidR="00E24D0F">
              <w:rPr>
                <w:bCs/>
                <w:sz w:val="20"/>
              </w:rPr>
              <w:t xml:space="preserve"> </w:t>
            </w:r>
            <w:r w:rsidRPr="005A1E6F">
              <w:rPr>
                <w:bCs/>
                <w:sz w:val="20"/>
              </w:rPr>
              <w:t>61%) and more frequent dosage modifications for adverse reactions (55% vs 43%) in patients 65 years or</w:t>
            </w:r>
            <w:r w:rsidR="00984B91">
              <w:rPr>
                <w:bCs/>
                <w:sz w:val="20"/>
              </w:rPr>
              <w:t xml:space="preserve"> </w:t>
            </w:r>
            <w:r w:rsidRPr="005A1E6F">
              <w:rPr>
                <w:bCs/>
                <w:sz w:val="20"/>
              </w:rPr>
              <w:t xml:space="preserve">older as compared to those younger than 65 years. </w:t>
            </w:r>
          </w:p>
          <w:p w14:paraId="12749E79" w14:textId="6C99D180" w:rsidR="00AB7481" w:rsidRPr="00AB7481" w:rsidRDefault="005A1E6F" w:rsidP="00AB7481">
            <w:pPr>
              <w:pStyle w:val="TableParagraph"/>
              <w:numPr>
                <w:ilvl w:val="0"/>
                <w:numId w:val="15"/>
              </w:numPr>
              <w:spacing w:before="40"/>
              <w:ind w:left="217" w:hanging="270"/>
              <w:rPr>
                <w:bCs/>
                <w:sz w:val="20"/>
              </w:rPr>
            </w:pPr>
            <w:r w:rsidRPr="005A1E6F">
              <w:rPr>
                <w:bCs/>
                <w:sz w:val="20"/>
              </w:rPr>
              <w:t>Clinical studies of TAGRISSO in combination with</w:t>
            </w:r>
            <w:r w:rsidR="00AB7481">
              <w:rPr>
                <w:bCs/>
                <w:sz w:val="20"/>
              </w:rPr>
              <w:t xml:space="preserve"> </w:t>
            </w:r>
            <w:r w:rsidRPr="005A1E6F">
              <w:rPr>
                <w:bCs/>
                <w:sz w:val="20"/>
              </w:rPr>
              <w:t xml:space="preserve">pemetrexed and platinum-based chemotherapy did not include sufficient numbers of patients </w:t>
            </w:r>
            <w:proofErr w:type="gramStart"/>
            <w:r w:rsidRPr="005A1E6F">
              <w:rPr>
                <w:bCs/>
                <w:sz w:val="20"/>
              </w:rPr>
              <w:t>age</w:t>
            </w:r>
            <w:proofErr w:type="gramEnd"/>
            <w:r w:rsidRPr="005A1E6F">
              <w:rPr>
                <w:bCs/>
                <w:sz w:val="20"/>
              </w:rPr>
              <w:t xml:space="preserve"> 65 and</w:t>
            </w:r>
            <w:r w:rsidR="00984B91">
              <w:rPr>
                <w:bCs/>
                <w:sz w:val="20"/>
              </w:rPr>
              <w:t xml:space="preserve"> </w:t>
            </w:r>
            <w:r w:rsidRPr="00AB7481">
              <w:rPr>
                <w:bCs/>
                <w:sz w:val="20"/>
              </w:rPr>
              <w:t>over to determine whether they respond differently from younger patients.</w:t>
            </w:r>
          </w:p>
          <w:p w14:paraId="3842787C" w14:textId="568584BA" w:rsidR="00DD39B2" w:rsidRPr="00AB7481" w:rsidRDefault="0089291F" w:rsidP="00AB7481">
            <w:pPr>
              <w:pStyle w:val="TableParagraph"/>
              <w:spacing w:before="40"/>
              <w:ind w:left="-53"/>
              <w:rPr>
                <w:bCs/>
                <w:sz w:val="20"/>
              </w:rPr>
            </w:pPr>
            <w:r w:rsidRPr="00AB7481">
              <w:rPr>
                <w:b/>
                <w:sz w:val="20"/>
                <w:u w:val="single"/>
              </w:rPr>
              <w:t>Renal Impairment</w:t>
            </w:r>
            <w:r w:rsidRPr="00AB7481">
              <w:rPr>
                <w:b/>
                <w:sz w:val="20"/>
              </w:rPr>
              <w:t xml:space="preserve">: </w:t>
            </w:r>
          </w:p>
          <w:p w14:paraId="6914FABF" w14:textId="16BE5539" w:rsidR="00115829" w:rsidRDefault="0089291F" w:rsidP="00837356">
            <w:pPr>
              <w:pStyle w:val="TableParagraph"/>
              <w:numPr>
                <w:ilvl w:val="0"/>
                <w:numId w:val="15"/>
              </w:numPr>
              <w:spacing w:before="40"/>
              <w:ind w:left="217" w:hanging="270"/>
              <w:rPr>
                <w:sz w:val="20"/>
              </w:rPr>
            </w:pPr>
            <w:r>
              <w:rPr>
                <w:sz w:val="20"/>
              </w:rPr>
              <w:t>No dose adjustment is recommended in patients with creatinine clearance [</w:t>
            </w:r>
            <w:proofErr w:type="spellStart"/>
            <w:r>
              <w:rPr>
                <w:sz w:val="20"/>
              </w:rPr>
              <w:t>CLcr</w:t>
            </w:r>
            <w:proofErr w:type="spellEnd"/>
            <w:r>
              <w:rPr>
                <w:sz w:val="20"/>
              </w:rPr>
              <w:t xml:space="preserve">] </w:t>
            </w:r>
            <w:r w:rsidR="00DD39B2">
              <w:rPr>
                <w:sz w:val="20"/>
              </w:rPr>
              <w:t>15</w:t>
            </w:r>
            <w:r>
              <w:rPr>
                <w:sz w:val="20"/>
              </w:rPr>
              <w:t>-89 mL/min, as estimated by the Cockcroft Gault method</w:t>
            </w:r>
            <w:r w:rsidR="006270C5">
              <w:rPr>
                <w:sz w:val="20"/>
              </w:rPr>
              <w:t>.</w:t>
            </w:r>
          </w:p>
          <w:p w14:paraId="64E45916" w14:textId="620E9233" w:rsidR="0089291F" w:rsidRPr="00115829" w:rsidRDefault="0089291F" w:rsidP="00837356">
            <w:pPr>
              <w:pStyle w:val="TableParagraph"/>
              <w:numPr>
                <w:ilvl w:val="0"/>
                <w:numId w:val="15"/>
              </w:numPr>
              <w:spacing w:before="40"/>
              <w:ind w:left="217" w:hanging="270"/>
              <w:rPr>
                <w:sz w:val="20"/>
              </w:rPr>
            </w:pPr>
            <w:r w:rsidRPr="00115829">
              <w:rPr>
                <w:sz w:val="20"/>
              </w:rPr>
              <w:t>There is no</w:t>
            </w:r>
            <w:r w:rsidR="00115829" w:rsidRPr="00115829">
              <w:rPr>
                <w:sz w:val="20"/>
              </w:rPr>
              <w:t xml:space="preserve"> </w:t>
            </w:r>
            <w:r w:rsidRPr="00115829">
              <w:rPr>
                <w:sz w:val="20"/>
              </w:rPr>
              <w:t>recommended dose of TAGRISSO for patients with end-stage renal disease</w:t>
            </w:r>
            <w:r w:rsidR="003365ED">
              <w:rPr>
                <w:sz w:val="20"/>
              </w:rPr>
              <w:t xml:space="preserve"> (</w:t>
            </w:r>
            <w:proofErr w:type="spellStart"/>
            <w:r w:rsidR="003365ED">
              <w:rPr>
                <w:sz w:val="20"/>
              </w:rPr>
              <w:t>CLcr</w:t>
            </w:r>
            <w:proofErr w:type="spellEnd"/>
            <w:r w:rsidR="003365ED">
              <w:rPr>
                <w:sz w:val="20"/>
              </w:rPr>
              <w:t xml:space="preserve"> &lt;15 mL/min)</w:t>
            </w:r>
            <w:r w:rsidR="00E67584">
              <w:rPr>
                <w:sz w:val="20"/>
              </w:rPr>
              <w:t>.</w:t>
            </w:r>
          </w:p>
          <w:p w14:paraId="273A89D2" w14:textId="51EFD442" w:rsidR="00115829" w:rsidRDefault="0089291F" w:rsidP="00115829">
            <w:pPr>
              <w:pStyle w:val="TableParagraph"/>
              <w:spacing w:before="121"/>
              <w:ind w:left="-53" w:right="311"/>
              <w:rPr>
                <w:b/>
                <w:sz w:val="20"/>
              </w:rPr>
            </w:pPr>
            <w:r w:rsidRPr="00115829">
              <w:rPr>
                <w:b/>
                <w:sz w:val="20"/>
                <w:u w:val="single"/>
              </w:rPr>
              <w:t>Hepatic Impairment</w:t>
            </w:r>
            <w:r>
              <w:rPr>
                <w:b/>
                <w:sz w:val="20"/>
              </w:rPr>
              <w:t xml:space="preserve">: </w:t>
            </w:r>
          </w:p>
          <w:p w14:paraId="0BC5F530" w14:textId="640B90D5" w:rsidR="00115829" w:rsidRDefault="0089291F" w:rsidP="00837356">
            <w:pPr>
              <w:pStyle w:val="TableParagraph"/>
              <w:numPr>
                <w:ilvl w:val="0"/>
                <w:numId w:val="15"/>
              </w:numPr>
              <w:spacing w:before="40"/>
              <w:ind w:left="217" w:right="-143" w:hanging="270"/>
              <w:rPr>
                <w:sz w:val="20"/>
              </w:rPr>
            </w:pPr>
            <w:r>
              <w:rPr>
                <w:sz w:val="20"/>
              </w:rPr>
              <w:t xml:space="preserve">No dose adjustment is recommended in patients with mild </w:t>
            </w:r>
            <w:r w:rsidR="00C67978">
              <w:rPr>
                <w:sz w:val="20"/>
              </w:rPr>
              <w:t xml:space="preserve">to moderate </w:t>
            </w:r>
            <w:r>
              <w:rPr>
                <w:sz w:val="20"/>
              </w:rPr>
              <w:t xml:space="preserve">hepatic </w:t>
            </w:r>
            <w:r w:rsidR="00115829">
              <w:rPr>
                <w:sz w:val="20"/>
              </w:rPr>
              <w:t>i</w:t>
            </w:r>
            <w:r>
              <w:rPr>
                <w:sz w:val="20"/>
              </w:rPr>
              <w:t>mpairment (</w:t>
            </w:r>
            <w:r w:rsidR="00115829">
              <w:rPr>
                <w:sz w:val="20"/>
              </w:rPr>
              <w:t xml:space="preserve">Child-Pugh A and B or </w:t>
            </w:r>
            <w:r>
              <w:rPr>
                <w:sz w:val="20"/>
              </w:rPr>
              <w:t xml:space="preserve">total bilirubin ≤ upper limit of normal [ULN] and AST &gt; ULN or total bilirubin between 1 to </w:t>
            </w:r>
            <w:r w:rsidR="00115829">
              <w:rPr>
                <w:sz w:val="20"/>
              </w:rPr>
              <w:t>3</w:t>
            </w:r>
            <w:r>
              <w:rPr>
                <w:sz w:val="20"/>
              </w:rPr>
              <w:t xml:space="preserve"> times ULN and any AST)</w:t>
            </w:r>
            <w:r w:rsidR="00E67584">
              <w:rPr>
                <w:sz w:val="20"/>
              </w:rPr>
              <w:t>.</w:t>
            </w:r>
          </w:p>
          <w:p w14:paraId="445BF93F" w14:textId="2AC02135" w:rsidR="0089291F" w:rsidRDefault="0089291F" w:rsidP="00837356">
            <w:pPr>
              <w:pStyle w:val="TableParagraph"/>
              <w:numPr>
                <w:ilvl w:val="0"/>
                <w:numId w:val="15"/>
              </w:numPr>
              <w:spacing w:before="40"/>
              <w:ind w:left="217" w:right="-143" w:hanging="270"/>
              <w:rPr>
                <w:sz w:val="20"/>
              </w:rPr>
            </w:pPr>
            <w:r>
              <w:rPr>
                <w:sz w:val="20"/>
              </w:rPr>
              <w:t>There is no recommended dose for TAGRISSO for patients with severe hepatic impairment</w:t>
            </w:r>
            <w:r w:rsidR="00115829">
              <w:rPr>
                <w:sz w:val="20"/>
              </w:rPr>
              <w:t xml:space="preserve"> (total bilirubin between 3 to 10 times ULN</w:t>
            </w:r>
            <w:r w:rsidR="00E24EF0">
              <w:rPr>
                <w:sz w:val="20"/>
              </w:rPr>
              <w:t xml:space="preserve"> and any AST)</w:t>
            </w:r>
            <w:r w:rsidR="00E67584">
              <w:rPr>
                <w:sz w:val="20"/>
              </w:rPr>
              <w:t>.</w:t>
            </w:r>
          </w:p>
        </w:tc>
      </w:tr>
    </w:tbl>
    <w:p w14:paraId="19468B65" w14:textId="7F551D18" w:rsidR="0089291F" w:rsidRDefault="0089291F" w:rsidP="0089291F">
      <w:pPr>
        <w:rPr>
          <w:sz w:val="20"/>
        </w:rPr>
      </w:pPr>
    </w:p>
    <w:p w14:paraId="425E5D7C" w14:textId="77777777" w:rsidR="00F950E8" w:rsidRDefault="00F950E8" w:rsidP="00F950E8">
      <w:pPr>
        <w:rPr>
          <w:sz w:val="20"/>
        </w:rPr>
      </w:pPr>
    </w:p>
    <w:p w14:paraId="66E10B17" w14:textId="77777777" w:rsidR="0095162D" w:rsidRDefault="0095162D" w:rsidP="00F950E8">
      <w:pPr>
        <w:rPr>
          <w:sz w:val="20"/>
        </w:rPr>
      </w:pPr>
    </w:p>
    <w:p w14:paraId="7CD3666D" w14:textId="77777777" w:rsidR="0095162D" w:rsidRDefault="0095162D" w:rsidP="00F950E8">
      <w:pPr>
        <w:rPr>
          <w:sz w:val="20"/>
        </w:rPr>
      </w:pPr>
    </w:p>
    <w:p w14:paraId="7DC320C1" w14:textId="77777777" w:rsidR="0095162D" w:rsidRDefault="0095162D" w:rsidP="00F950E8">
      <w:pPr>
        <w:rPr>
          <w:sz w:val="20"/>
        </w:rPr>
      </w:pPr>
    </w:p>
    <w:p w14:paraId="5D444736" w14:textId="77777777" w:rsidR="0095162D" w:rsidRDefault="0095162D" w:rsidP="00F950E8">
      <w:pPr>
        <w:rPr>
          <w:sz w:val="20"/>
        </w:rPr>
      </w:pPr>
    </w:p>
    <w:p w14:paraId="2B94AE83" w14:textId="77777777" w:rsidR="0095162D" w:rsidRDefault="0095162D" w:rsidP="00F950E8">
      <w:pPr>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4717"/>
        <w:gridCol w:w="5616"/>
      </w:tblGrid>
      <w:tr w:rsidR="00F950E8" w14:paraId="791643F2" w14:textId="77777777" w:rsidTr="00F950E8">
        <w:trPr>
          <w:trHeight w:val="262"/>
        </w:trPr>
        <w:tc>
          <w:tcPr>
            <w:tcW w:w="4717" w:type="dxa"/>
          </w:tcPr>
          <w:p w14:paraId="393535F0" w14:textId="77777777" w:rsidR="00F950E8" w:rsidRDefault="00F950E8">
            <w:pPr>
              <w:pStyle w:val="TableParagraph"/>
              <w:spacing w:line="203" w:lineRule="exact"/>
              <w:ind w:left="200"/>
              <w:rPr>
                <w:b/>
                <w:sz w:val="20"/>
              </w:rPr>
            </w:pPr>
            <w:r>
              <w:rPr>
                <w:b/>
                <w:color w:val="DD8046"/>
                <w:sz w:val="20"/>
              </w:rPr>
              <w:lastRenderedPageBreak/>
              <w:t>Verification of Appropriate Plan/Drug/Dose/Pt:</w:t>
            </w:r>
          </w:p>
        </w:tc>
        <w:tc>
          <w:tcPr>
            <w:tcW w:w="5616" w:type="dxa"/>
          </w:tcPr>
          <w:p w14:paraId="49631480" w14:textId="77777777" w:rsidR="00F950E8" w:rsidRDefault="00F950E8">
            <w:pPr>
              <w:pStyle w:val="TableParagraph"/>
              <w:spacing w:line="203" w:lineRule="exact"/>
              <w:ind w:left="576"/>
              <w:rPr>
                <w:b/>
                <w:sz w:val="20"/>
              </w:rPr>
            </w:pPr>
            <w:r>
              <w:rPr>
                <w:b/>
                <w:color w:val="DD8046"/>
                <w:sz w:val="20"/>
              </w:rPr>
              <w:t>Signature:</w:t>
            </w:r>
          </w:p>
        </w:tc>
      </w:tr>
      <w:tr w:rsidR="00F950E8" w14:paraId="2D985A55" w14:textId="77777777" w:rsidTr="00F950E8">
        <w:trPr>
          <w:trHeight w:val="325"/>
        </w:trPr>
        <w:tc>
          <w:tcPr>
            <w:tcW w:w="4717" w:type="dxa"/>
            <w:shd w:val="clear" w:color="auto" w:fill="F1F1F1"/>
          </w:tcPr>
          <w:p w14:paraId="663985C3" w14:textId="77777777" w:rsidR="00F950E8" w:rsidRDefault="00F950E8">
            <w:pPr>
              <w:pStyle w:val="TableParagraph"/>
              <w:tabs>
                <w:tab w:val="left" w:pos="9561"/>
              </w:tabs>
              <w:spacing w:before="22"/>
              <w:ind w:left="200" w:right="-4853"/>
              <w:rPr>
                <w:b/>
                <w:sz w:val="20"/>
              </w:rPr>
            </w:pPr>
            <w:r>
              <w:rPr>
                <w:rFonts w:ascii="Times New Roman"/>
                <w:color w:val="DD8046"/>
                <w:spacing w:val="-50"/>
                <w:w w:val="99"/>
                <w:sz w:val="20"/>
                <w:shd w:val="clear" w:color="auto" w:fill="F1F1F1"/>
              </w:rPr>
              <w:t xml:space="preserve"> </w:t>
            </w:r>
            <w:r>
              <w:rPr>
                <w:b/>
                <w:color w:val="DD8046"/>
                <w:sz w:val="20"/>
                <w:shd w:val="clear" w:color="auto" w:fill="F1F1F1"/>
              </w:rPr>
              <w:t>RN</w:t>
            </w:r>
            <w:r>
              <w:rPr>
                <w:b/>
                <w:color w:val="DD8046"/>
                <w:spacing w:val="-11"/>
                <w:sz w:val="20"/>
                <w:shd w:val="clear" w:color="auto" w:fill="F1F1F1"/>
              </w:rPr>
              <w:t xml:space="preserve"> </w:t>
            </w:r>
            <w:r>
              <w:rPr>
                <w:b/>
                <w:color w:val="DD8046"/>
                <w:sz w:val="20"/>
                <w:shd w:val="clear" w:color="auto" w:fill="F1F1F1"/>
              </w:rPr>
              <w:t>Verification:</w:t>
            </w:r>
            <w:r>
              <w:rPr>
                <w:b/>
                <w:color w:val="DD8046"/>
                <w:sz w:val="20"/>
                <w:shd w:val="clear" w:color="auto" w:fill="F1F1F1"/>
              </w:rPr>
              <w:tab/>
            </w:r>
          </w:p>
        </w:tc>
        <w:tc>
          <w:tcPr>
            <w:tcW w:w="5616" w:type="dxa"/>
            <w:shd w:val="clear" w:color="auto" w:fill="F1F1F1"/>
          </w:tcPr>
          <w:p w14:paraId="47CD6494" w14:textId="77777777" w:rsidR="00F950E8" w:rsidRDefault="00F950E8">
            <w:pPr>
              <w:pStyle w:val="TableParagraph"/>
              <w:rPr>
                <w:rFonts w:ascii="Times New Roman"/>
                <w:sz w:val="18"/>
              </w:rPr>
            </w:pPr>
          </w:p>
        </w:tc>
      </w:tr>
      <w:tr w:rsidR="00F950E8" w14:paraId="4E67CA2E" w14:textId="77777777" w:rsidTr="00F950E8">
        <w:trPr>
          <w:trHeight w:val="261"/>
        </w:trPr>
        <w:tc>
          <w:tcPr>
            <w:tcW w:w="4717" w:type="dxa"/>
          </w:tcPr>
          <w:p w14:paraId="48CE3D2E" w14:textId="77777777" w:rsidR="00F950E8" w:rsidRDefault="00F950E8">
            <w:pPr>
              <w:pStyle w:val="TableParagraph"/>
              <w:spacing w:before="21" w:line="220" w:lineRule="exact"/>
              <w:ind w:left="200"/>
              <w:rPr>
                <w:b/>
                <w:sz w:val="20"/>
              </w:rPr>
            </w:pPr>
            <w:r>
              <w:rPr>
                <w:b/>
                <w:color w:val="DD8046"/>
                <w:sz w:val="20"/>
              </w:rPr>
              <w:t>Patient Verification:</w:t>
            </w:r>
          </w:p>
        </w:tc>
        <w:tc>
          <w:tcPr>
            <w:tcW w:w="5616" w:type="dxa"/>
          </w:tcPr>
          <w:p w14:paraId="2B0DE06F" w14:textId="77777777" w:rsidR="00F950E8" w:rsidRDefault="00F950E8">
            <w:pPr>
              <w:pStyle w:val="TableParagraph"/>
              <w:rPr>
                <w:rFonts w:ascii="Times New Roman"/>
                <w:sz w:val="18"/>
              </w:rPr>
            </w:pPr>
          </w:p>
        </w:tc>
      </w:tr>
    </w:tbl>
    <w:p w14:paraId="7EC427F7" w14:textId="2E0B2EE9" w:rsidR="00F950E8" w:rsidRDefault="00F950E8" w:rsidP="00F950E8">
      <w:pPr>
        <w:rPr>
          <w:sz w:val="20"/>
        </w:rPr>
      </w:pPr>
    </w:p>
    <w:p w14:paraId="463E2617" w14:textId="0B03DE8B" w:rsidR="00F950E8" w:rsidRDefault="00F950E8" w:rsidP="00F950E8">
      <w:pPr>
        <w:rPr>
          <w:sz w:val="20"/>
        </w:rPr>
      </w:pPr>
    </w:p>
    <w:p w14:paraId="594827D5" w14:textId="352F3DCB" w:rsidR="00F950E8" w:rsidRDefault="00F950E8" w:rsidP="00F950E8">
      <w:pPr>
        <w:pStyle w:val="BodyText"/>
        <w:spacing w:before="43" w:line="278" w:lineRule="auto"/>
        <w:ind w:left="300" w:right="360"/>
      </w:pPr>
      <w:r>
        <w:t xml:space="preserve">Source: </w:t>
      </w:r>
      <w:r w:rsidR="001D1C9A" w:rsidRPr="001D1C9A">
        <w:rPr>
          <w:color w:val="FF01F2"/>
        </w:rPr>
        <w:t>[</w:t>
      </w:r>
      <w:r w:rsidRPr="001D1C9A">
        <w:rPr>
          <w:color w:val="FF01F2"/>
        </w:rPr>
        <w:t>TAGRISSO [package insert]. Wilmington, DE: AstraZeneca Pharmaceuticals LP; 202</w:t>
      </w:r>
      <w:r w:rsidR="00D63986" w:rsidRPr="001D1C9A">
        <w:rPr>
          <w:color w:val="FF01F2"/>
        </w:rPr>
        <w:t>4</w:t>
      </w:r>
      <w:r w:rsidRPr="001D1C9A">
        <w:rPr>
          <w:color w:val="FF01F2"/>
        </w:rPr>
        <w:t>.</w:t>
      </w:r>
      <w:r w:rsidR="001D1C9A" w:rsidRPr="001D1C9A">
        <w:rPr>
          <w:color w:val="FF01F2"/>
        </w:rPr>
        <w:t>]</w:t>
      </w:r>
    </w:p>
    <w:p w14:paraId="4D9D8C41" w14:textId="69FA1F1E" w:rsidR="002A289B" w:rsidRDefault="002A289B" w:rsidP="00F950E8">
      <w:pPr>
        <w:pStyle w:val="BodyText"/>
        <w:spacing w:before="43" w:line="278" w:lineRule="auto"/>
        <w:ind w:left="300" w:right="360"/>
        <w:rPr>
          <w:rStyle w:val="ui-provider"/>
        </w:rPr>
      </w:pPr>
      <w:r>
        <w:t xml:space="preserve">Source URL:  </w:t>
      </w:r>
      <w:hyperlink r:id="rId13" w:tgtFrame="_blank" w:tooltip="https://www.azpicentral.com/pi.html?product=tagrisso" w:history="1">
        <w:r w:rsidR="00311CF9">
          <w:rPr>
            <w:rStyle w:val="Hyperlink"/>
          </w:rPr>
          <w:t>https://www.azpicentral.com/pi.html?product=tagrisso</w:t>
        </w:r>
      </w:hyperlink>
    </w:p>
    <w:p w14:paraId="60A9CDF5" w14:textId="77777777" w:rsidR="00311CF9" w:rsidRDefault="00311CF9" w:rsidP="00F950E8">
      <w:pPr>
        <w:pStyle w:val="BodyText"/>
        <w:spacing w:before="43" w:line="278" w:lineRule="auto"/>
        <w:ind w:left="300" w:right="360"/>
      </w:pPr>
    </w:p>
    <w:p w14:paraId="1625503C" w14:textId="2C313449" w:rsidR="00F950E8" w:rsidRDefault="00F950E8" w:rsidP="00F950E8">
      <w:pPr>
        <w:pStyle w:val="BodyText"/>
        <w:spacing w:before="43" w:line="278" w:lineRule="auto"/>
        <w:ind w:left="300" w:right="360"/>
      </w:pPr>
      <w:r>
        <w:t>TAGRISSO is a registered trademark of the AstraZeneca group of companies.</w:t>
      </w:r>
    </w:p>
    <w:p w14:paraId="71FA578D" w14:textId="7C52BF42" w:rsidR="00CC0A5A" w:rsidRDefault="00F950E8" w:rsidP="00BF11EC">
      <w:pPr>
        <w:pStyle w:val="BodyText"/>
        <w:spacing w:before="43"/>
        <w:ind w:firstLine="300"/>
      </w:pPr>
      <w:r>
        <w:t>©202</w:t>
      </w:r>
      <w:r w:rsidR="00FA634D">
        <w:t>4</w:t>
      </w:r>
      <w:r>
        <w:t xml:space="preserve"> AstraZeneca. All rights reserved. </w:t>
      </w:r>
      <w:r w:rsidR="00862A33" w:rsidRPr="00862A33">
        <w:t>US-</w:t>
      </w:r>
      <w:r w:rsidR="00B21CEB">
        <w:t>81650. Last</w:t>
      </w:r>
      <w:r w:rsidR="00F97A57">
        <w:t xml:space="preserve"> Updated </w:t>
      </w:r>
      <w:r w:rsidR="00FA634D">
        <w:t>2</w:t>
      </w:r>
      <w:r w:rsidR="00826CF9">
        <w:t>/</w:t>
      </w:r>
      <w:r w:rsidR="00F15FC2">
        <w:t>24</w:t>
      </w:r>
    </w:p>
    <w:sectPr w:rsidR="00CC0A5A" w:rsidSect="00942002">
      <w:pgSz w:w="12240" w:h="15840" w:code="1"/>
      <w:pgMar w:top="720" w:right="720" w:bottom="720" w:left="72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8CE8" w14:textId="77777777" w:rsidR="006F5420" w:rsidRDefault="006F5420">
      <w:r>
        <w:separator/>
      </w:r>
    </w:p>
  </w:endnote>
  <w:endnote w:type="continuationSeparator" w:id="0">
    <w:p w14:paraId="6C4DE5D8" w14:textId="77777777" w:rsidR="006F5420" w:rsidRDefault="006F5420">
      <w:r>
        <w:continuationSeparator/>
      </w:r>
    </w:p>
  </w:endnote>
  <w:endnote w:type="continuationNotice" w:id="1">
    <w:p w14:paraId="1A6B46DB" w14:textId="77777777" w:rsidR="006F5420" w:rsidRDefault="006F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C598" w14:textId="77777777" w:rsidR="00073818" w:rsidRDefault="002A3628">
    <w:pPr>
      <w:pStyle w:val="BodyText"/>
      <w:spacing w:line="14" w:lineRule="auto"/>
    </w:pPr>
    <w:r>
      <w:rPr>
        <w:noProof/>
      </w:rPr>
      <mc:AlternateContent>
        <mc:Choice Requires="wps">
          <w:drawing>
            <wp:anchor distT="0" distB="0" distL="114300" distR="114300" simplePos="0" relativeHeight="251658240" behindDoc="1" locked="0" layoutInCell="1" allowOverlap="1" wp14:anchorId="25DF74BD" wp14:editId="088E4B7C">
              <wp:simplePos x="0" y="0"/>
              <wp:positionH relativeFrom="margin">
                <wp:align>center</wp:align>
              </wp:positionH>
              <wp:positionV relativeFrom="page">
                <wp:posOffset>9717723</wp:posOffset>
              </wp:positionV>
              <wp:extent cx="498475" cy="160020"/>
              <wp:effectExtent l="0" t="0" r="158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41A9" w14:textId="77777777" w:rsidR="00073818" w:rsidRDefault="002A3628">
                          <w:pPr>
                            <w:spacing w:line="235" w:lineRule="exact"/>
                            <w:ind w:left="20"/>
                            <w:rPr>
                              <w:sz w:val="21"/>
                            </w:rPr>
                          </w:pPr>
                          <w:r>
                            <w:rPr>
                              <w:color w:val="F79546"/>
                              <w:sz w:val="21"/>
                            </w:rPr>
                            <w:t xml:space="preserve">Page | </w:t>
                          </w:r>
                          <w:r>
                            <w:fldChar w:fldCharType="begin"/>
                          </w:r>
                          <w:r>
                            <w:rPr>
                              <w:color w:val="F79546"/>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74BD" id="_x0000_t202" coordsize="21600,21600" o:spt="202" path="m,l,21600r21600,l21600,xe">
              <v:stroke joinstyle="miter"/>
              <v:path gradientshapeok="t" o:connecttype="rect"/>
            </v:shapetype>
            <v:shape id="Text Box 1" o:spid="_x0000_s1026" type="#_x0000_t202" style="position:absolute;margin-left:0;margin-top:765.2pt;width:39.25pt;height:1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" filled="f" stroked="f">
              <v:textbox inset="0,0,0,0">
                <w:txbxContent>
                  <w:p w14:paraId="6EC141A9" w14:textId="77777777" w:rsidR="00073818" w:rsidRDefault="002A3628">
                    <w:pPr>
                      <w:spacing w:line="235" w:lineRule="exact"/>
                      <w:ind w:left="20"/>
                      <w:rPr>
                        <w:sz w:val="21"/>
                      </w:rPr>
                    </w:pPr>
                    <w:r>
                      <w:rPr>
                        <w:color w:val="F79546"/>
                        <w:sz w:val="21"/>
                      </w:rPr>
                      <w:t xml:space="preserve">Page | </w:t>
                    </w:r>
                    <w:r>
                      <w:fldChar w:fldCharType="begin"/>
                    </w:r>
                    <w:r>
                      <w:rPr>
                        <w:color w:val="F79546"/>
                        <w:sz w:val="21"/>
                      </w:rPr>
                      <w:instrText xml:space="preserve"> PAGE </w:instrText>
                    </w:r>
                    <w:r>
                      <w:fldChar w:fldCharType="separate"/>
                    </w:r>
                    <w:r>
                      <w:t>1</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1D91" w14:textId="77777777" w:rsidR="006F5420" w:rsidRDefault="006F5420">
      <w:r>
        <w:separator/>
      </w:r>
    </w:p>
  </w:footnote>
  <w:footnote w:type="continuationSeparator" w:id="0">
    <w:p w14:paraId="4810D2CA" w14:textId="77777777" w:rsidR="006F5420" w:rsidRDefault="006F5420">
      <w:r>
        <w:continuationSeparator/>
      </w:r>
    </w:p>
  </w:footnote>
  <w:footnote w:type="continuationNotice" w:id="1">
    <w:p w14:paraId="10FCC5D6" w14:textId="77777777" w:rsidR="006F5420" w:rsidRDefault="006F5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2CC"/>
    <w:multiLevelType w:val="hybridMultilevel"/>
    <w:tmpl w:val="2362B19A"/>
    <w:lvl w:ilvl="0" w:tplc="0D3AD352">
      <w:numFmt w:val="bullet"/>
      <w:lvlText w:val="-"/>
      <w:lvlJc w:val="left"/>
      <w:pPr>
        <w:ind w:left="700" w:hanging="360"/>
      </w:pPr>
      <w:rPr>
        <w:rFonts w:ascii="Calibri" w:eastAsia="Calibri" w:hAnsi="Calibri" w:cs="Calibri" w:hint="default"/>
        <w:w w:val="99"/>
        <w:sz w:val="20"/>
        <w:szCs w:val="20"/>
        <w:lang w:val="en-US" w:eastAsia="en-US" w:bidi="en-US"/>
      </w:rPr>
    </w:lvl>
    <w:lvl w:ilvl="1" w:tplc="A9C44CF4">
      <w:numFmt w:val="bullet"/>
      <w:lvlText w:val="•"/>
      <w:lvlJc w:val="left"/>
      <w:pPr>
        <w:ind w:left="1324" w:hanging="360"/>
      </w:pPr>
      <w:rPr>
        <w:rFonts w:hint="default"/>
        <w:lang w:val="en-US" w:eastAsia="en-US" w:bidi="en-US"/>
      </w:rPr>
    </w:lvl>
    <w:lvl w:ilvl="2" w:tplc="AFD866C6">
      <w:numFmt w:val="bullet"/>
      <w:lvlText w:val="•"/>
      <w:lvlJc w:val="left"/>
      <w:pPr>
        <w:ind w:left="1948" w:hanging="360"/>
      </w:pPr>
      <w:rPr>
        <w:rFonts w:hint="default"/>
        <w:lang w:val="en-US" w:eastAsia="en-US" w:bidi="en-US"/>
      </w:rPr>
    </w:lvl>
    <w:lvl w:ilvl="3" w:tplc="4D7C20DA">
      <w:numFmt w:val="bullet"/>
      <w:lvlText w:val="•"/>
      <w:lvlJc w:val="left"/>
      <w:pPr>
        <w:ind w:left="2572" w:hanging="360"/>
      </w:pPr>
      <w:rPr>
        <w:rFonts w:hint="default"/>
        <w:lang w:val="en-US" w:eastAsia="en-US" w:bidi="en-US"/>
      </w:rPr>
    </w:lvl>
    <w:lvl w:ilvl="4" w:tplc="BE649E4E">
      <w:numFmt w:val="bullet"/>
      <w:lvlText w:val="•"/>
      <w:lvlJc w:val="left"/>
      <w:pPr>
        <w:ind w:left="3196" w:hanging="360"/>
      </w:pPr>
      <w:rPr>
        <w:rFonts w:hint="default"/>
        <w:lang w:val="en-US" w:eastAsia="en-US" w:bidi="en-US"/>
      </w:rPr>
    </w:lvl>
    <w:lvl w:ilvl="5" w:tplc="B8CE6F0E">
      <w:numFmt w:val="bullet"/>
      <w:lvlText w:val="•"/>
      <w:lvlJc w:val="left"/>
      <w:pPr>
        <w:ind w:left="3820" w:hanging="360"/>
      </w:pPr>
      <w:rPr>
        <w:rFonts w:hint="default"/>
        <w:lang w:val="en-US" w:eastAsia="en-US" w:bidi="en-US"/>
      </w:rPr>
    </w:lvl>
    <w:lvl w:ilvl="6" w:tplc="CAD28336">
      <w:numFmt w:val="bullet"/>
      <w:lvlText w:val="•"/>
      <w:lvlJc w:val="left"/>
      <w:pPr>
        <w:ind w:left="4444" w:hanging="360"/>
      </w:pPr>
      <w:rPr>
        <w:rFonts w:hint="default"/>
        <w:lang w:val="en-US" w:eastAsia="en-US" w:bidi="en-US"/>
      </w:rPr>
    </w:lvl>
    <w:lvl w:ilvl="7" w:tplc="31AE5D88">
      <w:numFmt w:val="bullet"/>
      <w:lvlText w:val="•"/>
      <w:lvlJc w:val="left"/>
      <w:pPr>
        <w:ind w:left="5068" w:hanging="360"/>
      </w:pPr>
      <w:rPr>
        <w:rFonts w:hint="default"/>
        <w:lang w:val="en-US" w:eastAsia="en-US" w:bidi="en-US"/>
      </w:rPr>
    </w:lvl>
    <w:lvl w:ilvl="8" w:tplc="A22A9204">
      <w:numFmt w:val="bullet"/>
      <w:lvlText w:val="•"/>
      <w:lvlJc w:val="left"/>
      <w:pPr>
        <w:ind w:left="5692" w:hanging="360"/>
      </w:pPr>
      <w:rPr>
        <w:rFonts w:hint="default"/>
        <w:lang w:val="en-US" w:eastAsia="en-US" w:bidi="en-US"/>
      </w:rPr>
    </w:lvl>
  </w:abstractNum>
  <w:abstractNum w:abstractNumId="1" w15:restartNumberingAfterBreak="0">
    <w:nsid w:val="0315603D"/>
    <w:multiLevelType w:val="hybridMultilevel"/>
    <w:tmpl w:val="A814A36A"/>
    <w:lvl w:ilvl="0" w:tplc="217A96E6">
      <w:numFmt w:val="bullet"/>
      <w:lvlText w:val="•"/>
      <w:lvlJc w:val="left"/>
      <w:pPr>
        <w:ind w:left="868" w:hanging="360"/>
      </w:pPr>
      <w:rPr>
        <w:rFonts w:hint="default"/>
        <w:lang w:val="en-US" w:eastAsia="en-US" w:bidi="en-US"/>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15:restartNumberingAfterBreak="0">
    <w:nsid w:val="03A16DE0"/>
    <w:multiLevelType w:val="hybridMultilevel"/>
    <w:tmpl w:val="FDDA3E2E"/>
    <w:lvl w:ilvl="0" w:tplc="217A96E6">
      <w:numFmt w:val="bullet"/>
      <w:lvlText w:val="•"/>
      <w:lvlJc w:val="left"/>
      <w:pPr>
        <w:ind w:left="662" w:hanging="360"/>
      </w:pPr>
      <w:rPr>
        <w:rFonts w:hint="default"/>
        <w:lang w:val="en-US" w:eastAsia="en-US" w:bidi="en-US"/>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15:restartNumberingAfterBreak="0">
    <w:nsid w:val="06C01DD0"/>
    <w:multiLevelType w:val="multilevel"/>
    <w:tmpl w:val="ECA8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24C4C"/>
    <w:multiLevelType w:val="hybridMultilevel"/>
    <w:tmpl w:val="70861F34"/>
    <w:lvl w:ilvl="0" w:tplc="217A96E6">
      <w:numFmt w:val="bullet"/>
      <w:lvlText w:val="•"/>
      <w:lvlJc w:val="left"/>
      <w:pPr>
        <w:ind w:left="403" w:hanging="360"/>
      </w:pPr>
      <w:rPr>
        <w:rFonts w:hint="default"/>
        <w:lang w:val="en-US" w:eastAsia="en-US" w:bidi="en-US"/>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5" w15:restartNumberingAfterBreak="0">
    <w:nsid w:val="10C211A4"/>
    <w:multiLevelType w:val="hybridMultilevel"/>
    <w:tmpl w:val="FF2A95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453768E"/>
    <w:multiLevelType w:val="hybridMultilevel"/>
    <w:tmpl w:val="F90AB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756AA"/>
    <w:multiLevelType w:val="hybridMultilevel"/>
    <w:tmpl w:val="A7E237FC"/>
    <w:lvl w:ilvl="0" w:tplc="217A96E6">
      <w:numFmt w:val="bullet"/>
      <w:lvlText w:val="•"/>
      <w:lvlJc w:val="left"/>
      <w:pPr>
        <w:ind w:left="720" w:hanging="360"/>
      </w:pPr>
      <w:rPr>
        <w:rFonts w:hint="default"/>
        <w:lang w:val="en-US" w:eastAsia="en-US" w:bidi="en-US"/>
      </w:rPr>
    </w:lvl>
    <w:lvl w:ilvl="1" w:tplc="9AC63BE6">
      <w:numFmt w:val="bullet"/>
      <w:lvlText w:val="-"/>
      <w:lvlJc w:val="left"/>
      <w:pPr>
        <w:ind w:left="1440" w:hanging="360"/>
      </w:pPr>
      <w:rPr>
        <w:rFonts w:ascii="Calibri" w:eastAsia="Calibri" w:hAnsi="Calibri" w:cs="Calibri" w:hint="default"/>
        <w:w w:val="99"/>
        <w:sz w:val="20"/>
        <w:szCs w:val="20"/>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D5583"/>
    <w:multiLevelType w:val="hybridMultilevel"/>
    <w:tmpl w:val="8682BDC0"/>
    <w:lvl w:ilvl="0" w:tplc="217A96E6">
      <w:numFmt w:val="bullet"/>
      <w:lvlText w:val="•"/>
      <w:lvlJc w:val="left"/>
      <w:pPr>
        <w:ind w:left="720" w:hanging="360"/>
      </w:pPr>
      <w:rPr>
        <w:rFonts w:hint="default"/>
        <w:lang w:val="en-US" w:eastAsia="en-US" w:bidi="en-US"/>
      </w:rPr>
    </w:lvl>
    <w:lvl w:ilvl="1" w:tplc="9AC63BE6">
      <w:numFmt w:val="bullet"/>
      <w:lvlText w:val="-"/>
      <w:lvlJc w:val="left"/>
      <w:pPr>
        <w:ind w:left="1440" w:hanging="360"/>
      </w:pPr>
      <w:rPr>
        <w:rFonts w:ascii="Calibri" w:eastAsia="Calibri" w:hAnsi="Calibri" w:cs="Calibri" w:hint="default"/>
        <w:w w:val="99"/>
        <w:sz w:val="20"/>
        <w:szCs w:val="20"/>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17F40"/>
    <w:multiLevelType w:val="hybridMultilevel"/>
    <w:tmpl w:val="0B4258D4"/>
    <w:lvl w:ilvl="0" w:tplc="51FCB79C">
      <w:numFmt w:val="bullet"/>
      <w:lvlText w:val="•"/>
      <w:lvlJc w:val="left"/>
      <w:pPr>
        <w:ind w:left="1716" w:hanging="360"/>
      </w:pPr>
      <w:rPr>
        <w:rFonts w:hint="default"/>
        <w:lang w:val="en-US" w:eastAsia="en-US" w:bidi="en-US"/>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0" w15:restartNumberingAfterBreak="0">
    <w:nsid w:val="1E3635E6"/>
    <w:multiLevelType w:val="multilevel"/>
    <w:tmpl w:val="13E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494E2A"/>
    <w:multiLevelType w:val="multilevel"/>
    <w:tmpl w:val="EC2CDE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6122DB1"/>
    <w:multiLevelType w:val="hybridMultilevel"/>
    <w:tmpl w:val="589A9172"/>
    <w:lvl w:ilvl="0" w:tplc="217A96E6">
      <w:numFmt w:val="bullet"/>
      <w:lvlText w:val="•"/>
      <w:lvlJc w:val="left"/>
      <w:pPr>
        <w:ind w:left="834" w:hanging="360"/>
      </w:pPr>
      <w:rPr>
        <w:rFonts w:hint="default"/>
        <w:w w:val="99"/>
        <w:sz w:val="20"/>
        <w:szCs w:val="20"/>
        <w:lang w:val="en-US" w:eastAsia="en-US" w:bidi="en-US"/>
      </w:rPr>
    </w:lvl>
    <w:lvl w:ilvl="1" w:tplc="7B34190E">
      <w:numFmt w:val="bullet"/>
      <w:lvlText w:val="-"/>
      <w:lvlJc w:val="left"/>
      <w:pPr>
        <w:ind w:left="1102" w:hanging="360"/>
      </w:pPr>
      <w:rPr>
        <w:rFonts w:ascii="Calibri" w:eastAsia="Calibri" w:hAnsi="Calibri" w:cs="Calibri" w:hint="default"/>
        <w:w w:val="100"/>
        <w:sz w:val="21"/>
        <w:szCs w:val="21"/>
        <w:lang w:val="en-US" w:eastAsia="en-US" w:bidi="en-US"/>
      </w:rPr>
    </w:lvl>
    <w:lvl w:ilvl="2" w:tplc="272C3230">
      <w:numFmt w:val="bullet"/>
      <w:lvlText w:val="•"/>
      <w:lvlJc w:val="left"/>
      <w:pPr>
        <w:ind w:left="1364" w:hanging="360"/>
      </w:pPr>
      <w:rPr>
        <w:rFonts w:hint="default"/>
        <w:lang w:val="en-US" w:eastAsia="en-US" w:bidi="en-US"/>
      </w:rPr>
    </w:lvl>
    <w:lvl w:ilvl="3" w:tplc="C486D83C">
      <w:numFmt w:val="bullet"/>
      <w:lvlText w:val="•"/>
      <w:lvlJc w:val="left"/>
      <w:pPr>
        <w:ind w:left="1627" w:hanging="360"/>
      </w:pPr>
      <w:rPr>
        <w:rFonts w:hint="default"/>
        <w:lang w:val="en-US" w:eastAsia="en-US" w:bidi="en-US"/>
      </w:rPr>
    </w:lvl>
    <w:lvl w:ilvl="4" w:tplc="15C69CB6">
      <w:numFmt w:val="bullet"/>
      <w:lvlText w:val="•"/>
      <w:lvlJc w:val="left"/>
      <w:pPr>
        <w:ind w:left="1889" w:hanging="360"/>
      </w:pPr>
      <w:rPr>
        <w:rFonts w:hint="default"/>
        <w:lang w:val="en-US" w:eastAsia="en-US" w:bidi="en-US"/>
      </w:rPr>
    </w:lvl>
    <w:lvl w:ilvl="5" w:tplc="5F940ED4">
      <w:numFmt w:val="bullet"/>
      <w:lvlText w:val="•"/>
      <w:lvlJc w:val="left"/>
      <w:pPr>
        <w:ind w:left="2152" w:hanging="360"/>
      </w:pPr>
      <w:rPr>
        <w:rFonts w:hint="default"/>
        <w:lang w:val="en-US" w:eastAsia="en-US" w:bidi="en-US"/>
      </w:rPr>
    </w:lvl>
    <w:lvl w:ilvl="6" w:tplc="32927290">
      <w:numFmt w:val="bullet"/>
      <w:lvlText w:val="•"/>
      <w:lvlJc w:val="left"/>
      <w:pPr>
        <w:ind w:left="2414" w:hanging="360"/>
      </w:pPr>
      <w:rPr>
        <w:rFonts w:hint="default"/>
        <w:lang w:val="en-US" w:eastAsia="en-US" w:bidi="en-US"/>
      </w:rPr>
    </w:lvl>
    <w:lvl w:ilvl="7" w:tplc="675CA974">
      <w:numFmt w:val="bullet"/>
      <w:lvlText w:val="•"/>
      <w:lvlJc w:val="left"/>
      <w:pPr>
        <w:ind w:left="2676" w:hanging="360"/>
      </w:pPr>
      <w:rPr>
        <w:rFonts w:hint="default"/>
        <w:lang w:val="en-US" w:eastAsia="en-US" w:bidi="en-US"/>
      </w:rPr>
    </w:lvl>
    <w:lvl w:ilvl="8" w:tplc="78803222">
      <w:numFmt w:val="bullet"/>
      <w:lvlText w:val="•"/>
      <w:lvlJc w:val="left"/>
      <w:pPr>
        <w:ind w:left="2939" w:hanging="360"/>
      </w:pPr>
      <w:rPr>
        <w:rFonts w:hint="default"/>
        <w:lang w:val="en-US" w:eastAsia="en-US" w:bidi="en-US"/>
      </w:rPr>
    </w:lvl>
  </w:abstractNum>
  <w:abstractNum w:abstractNumId="13" w15:restartNumberingAfterBreak="0">
    <w:nsid w:val="310F551B"/>
    <w:multiLevelType w:val="multilevel"/>
    <w:tmpl w:val="83BC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07A5E"/>
    <w:multiLevelType w:val="hybridMultilevel"/>
    <w:tmpl w:val="6D444DAE"/>
    <w:lvl w:ilvl="0" w:tplc="217A96E6">
      <w:numFmt w:val="bullet"/>
      <w:lvlText w:val="•"/>
      <w:lvlJc w:val="left"/>
      <w:pPr>
        <w:ind w:left="720" w:hanging="360"/>
      </w:pPr>
      <w:rPr>
        <w:rFonts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957"/>
    <w:multiLevelType w:val="hybridMultilevel"/>
    <w:tmpl w:val="6A604C46"/>
    <w:lvl w:ilvl="0" w:tplc="217A96E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83D2C"/>
    <w:multiLevelType w:val="hybridMultilevel"/>
    <w:tmpl w:val="71E01856"/>
    <w:lvl w:ilvl="0" w:tplc="217A96E6">
      <w:numFmt w:val="bullet"/>
      <w:lvlText w:val="•"/>
      <w:lvlJc w:val="left"/>
      <w:pPr>
        <w:ind w:left="148" w:hanging="360"/>
      </w:pPr>
      <w:rPr>
        <w:rFonts w:hint="default"/>
        <w:w w:val="99"/>
        <w:sz w:val="20"/>
        <w:szCs w:val="20"/>
        <w:lang w:val="en-US" w:eastAsia="en-US" w:bidi="en-US"/>
      </w:rPr>
    </w:lvl>
    <w:lvl w:ilvl="1" w:tplc="97EE0CE4">
      <w:numFmt w:val="bullet"/>
      <w:lvlText w:val="•"/>
      <w:lvlJc w:val="left"/>
      <w:pPr>
        <w:ind w:left="786" w:hanging="360"/>
      </w:pPr>
      <w:rPr>
        <w:rFonts w:hint="default"/>
        <w:lang w:val="en-US" w:eastAsia="en-US" w:bidi="en-US"/>
      </w:rPr>
    </w:lvl>
    <w:lvl w:ilvl="2" w:tplc="F3A0E254">
      <w:numFmt w:val="bullet"/>
      <w:lvlText w:val="•"/>
      <w:lvlJc w:val="left"/>
      <w:pPr>
        <w:ind w:left="1432" w:hanging="360"/>
      </w:pPr>
      <w:rPr>
        <w:rFonts w:hint="default"/>
        <w:lang w:val="en-US" w:eastAsia="en-US" w:bidi="en-US"/>
      </w:rPr>
    </w:lvl>
    <w:lvl w:ilvl="3" w:tplc="474CBC68">
      <w:numFmt w:val="bullet"/>
      <w:lvlText w:val="•"/>
      <w:lvlJc w:val="left"/>
      <w:pPr>
        <w:ind w:left="2078" w:hanging="360"/>
      </w:pPr>
      <w:rPr>
        <w:rFonts w:hint="default"/>
        <w:lang w:val="en-US" w:eastAsia="en-US" w:bidi="en-US"/>
      </w:rPr>
    </w:lvl>
    <w:lvl w:ilvl="4" w:tplc="60A29108">
      <w:numFmt w:val="bullet"/>
      <w:lvlText w:val="•"/>
      <w:lvlJc w:val="left"/>
      <w:pPr>
        <w:ind w:left="2725" w:hanging="360"/>
      </w:pPr>
      <w:rPr>
        <w:rFonts w:hint="default"/>
        <w:lang w:val="en-US" w:eastAsia="en-US" w:bidi="en-US"/>
      </w:rPr>
    </w:lvl>
    <w:lvl w:ilvl="5" w:tplc="43E05F64">
      <w:numFmt w:val="bullet"/>
      <w:lvlText w:val="•"/>
      <w:lvlJc w:val="left"/>
      <w:pPr>
        <w:ind w:left="3371" w:hanging="360"/>
      </w:pPr>
      <w:rPr>
        <w:rFonts w:hint="default"/>
        <w:lang w:val="en-US" w:eastAsia="en-US" w:bidi="en-US"/>
      </w:rPr>
    </w:lvl>
    <w:lvl w:ilvl="6" w:tplc="122EDCE8">
      <w:numFmt w:val="bullet"/>
      <w:lvlText w:val="•"/>
      <w:lvlJc w:val="left"/>
      <w:pPr>
        <w:ind w:left="4017" w:hanging="360"/>
      </w:pPr>
      <w:rPr>
        <w:rFonts w:hint="default"/>
        <w:lang w:val="en-US" w:eastAsia="en-US" w:bidi="en-US"/>
      </w:rPr>
    </w:lvl>
    <w:lvl w:ilvl="7" w:tplc="565A2652">
      <w:numFmt w:val="bullet"/>
      <w:lvlText w:val="•"/>
      <w:lvlJc w:val="left"/>
      <w:pPr>
        <w:ind w:left="4664" w:hanging="360"/>
      </w:pPr>
      <w:rPr>
        <w:rFonts w:hint="default"/>
        <w:lang w:val="en-US" w:eastAsia="en-US" w:bidi="en-US"/>
      </w:rPr>
    </w:lvl>
    <w:lvl w:ilvl="8" w:tplc="665A221E">
      <w:numFmt w:val="bullet"/>
      <w:lvlText w:val="•"/>
      <w:lvlJc w:val="left"/>
      <w:pPr>
        <w:ind w:left="5310" w:hanging="360"/>
      </w:pPr>
      <w:rPr>
        <w:rFonts w:hint="default"/>
        <w:lang w:val="en-US" w:eastAsia="en-US" w:bidi="en-US"/>
      </w:rPr>
    </w:lvl>
  </w:abstractNum>
  <w:abstractNum w:abstractNumId="17" w15:restartNumberingAfterBreak="0">
    <w:nsid w:val="4A1D11EC"/>
    <w:multiLevelType w:val="hybridMultilevel"/>
    <w:tmpl w:val="236097B8"/>
    <w:lvl w:ilvl="0" w:tplc="217A96E6">
      <w:numFmt w:val="bullet"/>
      <w:lvlText w:val="•"/>
      <w:lvlJc w:val="left"/>
      <w:pPr>
        <w:ind w:left="900" w:hanging="360"/>
      </w:pPr>
      <w:rPr>
        <w:rFonts w:hint="default"/>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AB7022E"/>
    <w:multiLevelType w:val="hybridMultilevel"/>
    <w:tmpl w:val="B7D05CDE"/>
    <w:lvl w:ilvl="0" w:tplc="217A96E6">
      <w:numFmt w:val="bullet"/>
      <w:lvlText w:val="•"/>
      <w:lvlJc w:val="left"/>
      <w:pPr>
        <w:ind w:left="662" w:hanging="360"/>
      </w:pPr>
      <w:rPr>
        <w:rFonts w:hint="default"/>
        <w:lang w:val="en-US" w:eastAsia="en-US" w:bidi="en-US"/>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15:restartNumberingAfterBreak="0">
    <w:nsid w:val="500A522B"/>
    <w:multiLevelType w:val="hybridMultilevel"/>
    <w:tmpl w:val="0248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793D1B"/>
    <w:multiLevelType w:val="hybridMultilevel"/>
    <w:tmpl w:val="E0FA869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1" w15:restartNumberingAfterBreak="0">
    <w:nsid w:val="53C20A82"/>
    <w:multiLevelType w:val="hybridMultilevel"/>
    <w:tmpl w:val="971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14C14"/>
    <w:multiLevelType w:val="hybridMultilevel"/>
    <w:tmpl w:val="BA48130A"/>
    <w:lvl w:ilvl="0" w:tplc="217A96E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2DA0"/>
    <w:multiLevelType w:val="hybridMultilevel"/>
    <w:tmpl w:val="2EB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E73F6"/>
    <w:multiLevelType w:val="hybridMultilevel"/>
    <w:tmpl w:val="F9DC2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46C64"/>
    <w:multiLevelType w:val="hybridMultilevel"/>
    <w:tmpl w:val="F996A23E"/>
    <w:lvl w:ilvl="0" w:tplc="8EE69E52">
      <w:numFmt w:val="bullet"/>
      <w:lvlText w:val="-"/>
      <w:lvlJc w:val="left"/>
      <w:pPr>
        <w:ind w:left="996" w:hanging="113"/>
      </w:pPr>
      <w:rPr>
        <w:rFonts w:ascii="Calibri" w:eastAsia="Calibri" w:hAnsi="Calibri" w:cs="Calibri" w:hint="default"/>
        <w:w w:val="100"/>
        <w:sz w:val="21"/>
        <w:szCs w:val="21"/>
        <w:lang w:val="en-US" w:eastAsia="en-US" w:bidi="en-US"/>
      </w:rPr>
    </w:lvl>
    <w:lvl w:ilvl="1" w:tplc="5440A42A">
      <w:numFmt w:val="bullet"/>
      <w:lvlText w:val="•"/>
      <w:lvlJc w:val="left"/>
      <w:pPr>
        <w:ind w:left="1647" w:hanging="113"/>
      </w:pPr>
      <w:rPr>
        <w:rFonts w:hint="default"/>
        <w:lang w:val="en-US" w:eastAsia="en-US" w:bidi="en-US"/>
      </w:rPr>
    </w:lvl>
    <w:lvl w:ilvl="2" w:tplc="8F5667E8">
      <w:numFmt w:val="bullet"/>
      <w:lvlText w:val="•"/>
      <w:lvlJc w:val="left"/>
      <w:pPr>
        <w:ind w:left="2294" w:hanging="113"/>
      </w:pPr>
      <w:rPr>
        <w:rFonts w:hint="default"/>
        <w:lang w:val="en-US" w:eastAsia="en-US" w:bidi="en-US"/>
      </w:rPr>
    </w:lvl>
    <w:lvl w:ilvl="3" w:tplc="9280E61A">
      <w:numFmt w:val="bullet"/>
      <w:lvlText w:val="•"/>
      <w:lvlJc w:val="left"/>
      <w:pPr>
        <w:ind w:left="2942" w:hanging="113"/>
      </w:pPr>
      <w:rPr>
        <w:rFonts w:hint="default"/>
        <w:lang w:val="en-US" w:eastAsia="en-US" w:bidi="en-US"/>
      </w:rPr>
    </w:lvl>
    <w:lvl w:ilvl="4" w:tplc="FA38D3E8">
      <w:numFmt w:val="bullet"/>
      <w:lvlText w:val="•"/>
      <w:lvlJc w:val="left"/>
      <w:pPr>
        <w:ind w:left="3589" w:hanging="113"/>
      </w:pPr>
      <w:rPr>
        <w:rFonts w:hint="default"/>
        <w:lang w:val="en-US" w:eastAsia="en-US" w:bidi="en-US"/>
      </w:rPr>
    </w:lvl>
    <w:lvl w:ilvl="5" w:tplc="FA38CD00">
      <w:numFmt w:val="bullet"/>
      <w:lvlText w:val="•"/>
      <w:lvlJc w:val="left"/>
      <w:pPr>
        <w:ind w:left="4237" w:hanging="113"/>
      </w:pPr>
      <w:rPr>
        <w:rFonts w:hint="default"/>
        <w:lang w:val="en-US" w:eastAsia="en-US" w:bidi="en-US"/>
      </w:rPr>
    </w:lvl>
    <w:lvl w:ilvl="6" w:tplc="2D8808EC">
      <w:numFmt w:val="bullet"/>
      <w:lvlText w:val="•"/>
      <w:lvlJc w:val="left"/>
      <w:pPr>
        <w:ind w:left="4884" w:hanging="113"/>
      </w:pPr>
      <w:rPr>
        <w:rFonts w:hint="default"/>
        <w:lang w:val="en-US" w:eastAsia="en-US" w:bidi="en-US"/>
      </w:rPr>
    </w:lvl>
    <w:lvl w:ilvl="7" w:tplc="916C6058">
      <w:numFmt w:val="bullet"/>
      <w:lvlText w:val="•"/>
      <w:lvlJc w:val="left"/>
      <w:pPr>
        <w:ind w:left="5531" w:hanging="113"/>
      </w:pPr>
      <w:rPr>
        <w:rFonts w:hint="default"/>
        <w:lang w:val="en-US" w:eastAsia="en-US" w:bidi="en-US"/>
      </w:rPr>
    </w:lvl>
    <w:lvl w:ilvl="8" w:tplc="7A767032">
      <w:numFmt w:val="bullet"/>
      <w:lvlText w:val="•"/>
      <w:lvlJc w:val="left"/>
      <w:pPr>
        <w:ind w:left="6179" w:hanging="113"/>
      </w:pPr>
      <w:rPr>
        <w:rFonts w:hint="default"/>
        <w:lang w:val="en-US" w:eastAsia="en-US" w:bidi="en-US"/>
      </w:rPr>
    </w:lvl>
  </w:abstractNum>
  <w:abstractNum w:abstractNumId="26" w15:restartNumberingAfterBreak="0">
    <w:nsid w:val="5FFF0840"/>
    <w:multiLevelType w:val="hybridMultilevel"/>
    <w:tmpl w:val="3E14CF6C"/>
    <w:lvl w:ilvl="0" w:tplc="217A96E6">
      <w:numFmt w:val="bullet"/>
      <w:lvlText w:val="•"/>
      <w:lvlJc w:val="left"/>
      <w:pPr>
        <w:ind w:left="667" w:hanging="360"/>
      </w:pPr>
      <w:rPr>
        <w:rFonts w:hint="default"/>
        <w:lang w:val="en-US" w:eastAsia="en-US" w:bidi="en-US"/>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7" w15:restartNumberingAfterBreak="0">
    <w:nsid w:val="61DD2884"/>
    <w:multiLevelType w:val="hybridMultilevel"/>
    <w:tmpl w:val="303A89FC"/>
    <w:lvl w:ilvl="0" w:tplc="217A96E6">
      <w:numFmt w:val="bullet"/>
      <w:lvlText w:val="•"/>
      <w:lvlJc w:val="left"/>
      <w:pPr>
        <w:ind w:left="662" w:hanging="360"/>
      </w:pPr>
      <w:rPr>
        <w:rFonts w:hint="default"/>
        <w:w w:val="99"/>
        <w:sz w:val="20"/>
        <w:szCs w:val="20"/>
        <w:lang w:val="en-US" w:eastAsia="en-US" w:bidi="en-US"/>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8" w15:restartNumberingAfterBreak="0">
    <w:nsid w:val="62774C4C"/>
    <w:multiLevelType w:val="hybridMultilevel"/>
    <w:tmpl w:val="8900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03651"/>
    <w:multiLevelType w:val="multilevel"/>
    <w:tmpl w:val="22963C46"/>
    <w:lvl w:ilvl="0">
      <w:start w:val="1"/>
      <w:numFmt w:val="bullet"/>
      <w:lvlText w:val=""/>
      <w:lvlJc w:val="left"/>
      <w:pPr>
        <w:tabs>
          <w:tab w:val="num" w:pos="403"/>
        </w:tabs>
        <w:ind w:left="403" w:hanging="360"/>
      </w:pPr>
      <w:rPr>
        <w:rFonts w:ascii="Symbol" w:hAnsi="Symbol" w:hint="default"/>
        <w:sz w:val="20"/>
      </w:rPr>
    </w:lvl>
    <w:lvl w:ilvl="1" w:tentative="1">
      <w:start w:val="1"/>
      <w:numFmt w:val="bullet"/>
      <w:lvlText w:val=""/>
      <w:lvlJc w:val="left"/>
      <w:pPr>
        <w:tabs>
          <w:tab w:val="num" w:pos="1123"/>
        </w:tabs>
        <w:ind w:left="1123" w:hanging="360"/>
      </w:pPr>
      <w:rPr>
        <w:rFonts w:ascii="Symbol" w:hAnsi="Symbol" w:hint="default"/>
        <w:sz w:val="20"/>
      </w:rPr>
    </w:lvl>
    <w:lvl w:ilvl="2" w:tentative="1">
      <w:start w:val="1"/>
      <w:numFmt w:val="bullet"/>
      <w:lvlText w:val=""/>
      <w:lvlJc w:val="left"/>
      <w:pPr>
        <w:tabs>
          <w:tab w:val="num" w:pos="1843"/>
        </w:tabs>
        <w:ind w:left="1843" w:hanging="360"/>
      </w:pPr>
      <w:rPr>
        <w:rFonts w:ascii="Symbol" w:hAnsi="Symbol" w:hint="default"/>
        <w:sz w:val="20"/>
      </w:rPr>
    </w:lvl>
    <w:lvl w:ilvl="3" w:tentative="1">
      <w:start w:val="1"/>
      <w:numFmt w:val="bullet"/>
      <w:lvlText w:val=""/>
      <w:lvlJc w:val="left"/>
      <w:pPr>
        <w:tabs>
          <w:tab w:val="num" w:pos="2563"/>
        </w:tabs>
        <w:ind w:left="2563" w:hanging="360"/>
      </w:pPr>
      <w:rPr>
        <w:rFonts w:ascii="Symbol" w:hAnsi="Symbol" w:hint="default"/>
        <w:sz w:val="20"/>
      </w:rPr>
    </w:lvl>
    <w:lvl w:ilvl="4" w:tentative="1">
      <w:start w:val="1"/>
      <w:numFmt w:val="bullet"/>
      <w:lvlText w:val=""/>
      <w:lvlJc w:val="left"/>
      <w:pPr>
        <w:tabs>
          <w:tab w:val="num" w:pos="3283"/>
        </w:tabs>
        <w:ind w:left="3283" w:hanging="360"/>
      </w:pPr>
      <w:rPr>
        <w:rFonts w:ascii="Symbol" w:hAnsi="Symbol" w:hint="default"/>
        <w:sz w:val="20"/>
      </w:rPr>
    </w:lvl>
    <w:lvl w:ilvl="5" w:tentative="1">
      <w:start w:val="1"/>
      <w:numFmt w:val="bullet"/>
      <w:lvlText w:val=""/>
      <w:lvlJc w:val="left"/>
      <w:pPr>
        <w:tabs>
          <w:tab w:val="num" w:pos="4003"/>
        </w:tabs>
        <w:ind w:left="4003" w:hanging="360"/>
      </w:pPr>
      <w:rPr>
        <w:rFonts w:ascii="Symbol" w:hAnsi="Symbol" w:hint="default"/>
        <w:sz w:val="20"/>
      </w:rPr>
    </w:lvl>
    <w:lvl w:ilvl="6" w:tentative="1">
      <w:start w:val="1"/>
      <w:numFmt w:val="bullet"/>
      <w:lvlText w:val=""/>
      <w:lvlJc w:val="left"/>
      <w:pPr>
        <w:tabs>
          <w:tab w:val="num" w:pos="4723"/>
        </w:tabs>
        <w:ind w:left="4723" w:hanging="360"/>
      </w:pPr>
      <w:rPr>
        <w:rFonts w:ascii="Symbol" w:hAnsi="Symbol" w:hint="default"/>
        <w:sz w:val="20"/>
      </w:rPr>
    </w:lvl>
    <w:lvl w:ilvl="7" w:tentative="1">
      <w:start w:val="1"/>
      <w:numFmt w:val="bullet"/>
      <w:lvlText w:val=""/>
      <w:lvlJc w:val="left"/>
      <w:pPr>
        <w:tabs>
          <w:tab w:val="num" w:pos="5443"/>
        </w:tabs>
        <w:ind w:left="5443" w:hanging="360"/>
      </w:pPr>
      <w:rPr>
        <w:rFonts w:ascii="Symbol" w:hAnsi="Symbol" w:hint="default"/>
        <w:sz w:val="20"/>
      </w:rPr>
    </w:lvl>
    <w:lvl w:ilvl="8" w:tentative="1">
      <w:start w:val="1"/>
      <w:numFmt w:val="bullet"/>
      <w:lvlText w:val=""/>
      <w:lvlJc w:val="left"/>
      <w:pPr>
        <w:tabs>
          <w:tab w:val="num" w:pos="6163"/>
        </w:tabs>
        <w:ind w:left="6163" w:hanging="360"/>
      </w:pPr>
      <w:rPr>
        <w:rFonts w:ascii="Symbol" w:hAnsi="Symbol" w:hint="default"/>
        <w:sz w:val="20"/>
      </w:rPr>
    </w:lvl>
  </w:abstractNum>
  <w:abstractNum w:abstractNumId="30" w15:restartNumberingAfterBreak="0">
    <w:nsid w:val="6F9B517D"/>
    <w:multiLevelType w:val="hybridMultilevel"/>
    <w:tmpl w:val="D1A41104"/>
    <w:lvl w:ilvl="0" w:tplc="217A96E6">
      <w:numFmt w:val="bullet"/>
      <w:lvlText w:val="•"/>
      <w:lvlJc w:val="left"/>
      <w:pPr>
        <w:ind w:left="662" w:hanging="360"/>
      </w:pPr>
      <w:rPr>
        <w:rFonts w:hint="default"/>
        <w:lang w:val="en-US" w:eastAsia="en-US" w:bidi="en-US"/>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1" w15:restartNumberingAfterBreak="0">
    <w:nsid w:val="6FA258BF"/>
    <w:multiLevelType w:val="hybridMultilevel"/>
    <w:tmpl w:val="BA109E34"/>
    <w:lvl w:ilvl="0" w:tplc="217A96E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C1CDC"/>
    <w:multiLevelType w:val="hybridMultilevel"/>
    <w:tmpl w:val="D564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96716"/>
    <w:multiLevelType w:val="hybridMultilevel"/>
    <w:tmpl w:val="2ADA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03065"/>
    <w:multiLevelType w:val="hybridMultilevel"/>
    <w:tmpl w:val="B234EFF2"/>
    <w:lvl w:ilvl="0" w:tplc="9AC63BE6">
      <w:numFmt w:val="bullet"/>
      <w:lvlText w:val="-"/>
      <w:lvlJc w:val="left"/>
      <w:pPr>
        <w:ind w:left="1076" w:hanging="360"/>
      </w:pPr>
      <w:rPr>
        <w:rFonts w:ascii="Calibri" w:eastAsia="Calibri" w:hAnsi="Calibri" w:cs="Calibri" w:hint="default"/>
        <w:w w:val="99"/>
        <w:sz w:val="20"/>
        <w:szCs w:val="20"/>
        <w:lang w:val="en-US" w:eastAsia="en-US" w:bidi="en-US"/>
      </w:rPr>
    </w:lvl>
    <w:lvl w:ilvl="1" w:tplc="51FCB79C">
      <w:numFmt w:val="bullet"/>
      <w:lvlText w:val="•"/>
      <w:lvlJc w:val="left"/>
      <w:pPr>
        <w:ind w:left="1693" w:hanging="360"/>
      </w:pPr>
      <w:rPr>
        <w:rFonts w:hint="default"/>
        <w:lang w:val="en-US" w:eastAsia="en-US" w:bidi="en-US"/>
      </w:rPr>
    </w:lvl>
    <w:lvl w:ilvl="2" w:tplc="8692118C">
      <w:numFmt w:val="bullet"/>
      <w:lvlText w:val="•"/>
      <w:lvlJc w:val="left"/>
      <w:pPr>
        <w:ind w:left="2307" w:hanging="360"/>
      </w:pPr>
      <w:rPr>
        <w:rFonts w:hint="default"/>
        <w:lang w:val="en-US" w:eastAsia="en-US" w:bidi="en-US"/>
      </w:rPr>
    </w:lvl>
    <w:lvl w:ilvl="3" w:tplc="7BCE0D60">
      <w:numFmt w:val="bullet"/>
      <w:lvlText w:val="•"/>
      <w:lvlJc w:val="left"/>
      <w:pPr>
        <w:ind w:left="2920" w:hanging="360"/>
      </w:pPr>
      <w:rPr>
        <w:rFonts w:hint="default"/>
        <w:lang w:val="en-US" w:eastAsia="en-US" w:bidi="en-US"/>
      </w:rPr>
    </w:lvl>
    <w:lvl w:ilvl="4" w:tplc="7AEAFF96">
      <w:numFmt w:val="bullet"/>
      <w:lvlText w:val="•"/>
      <w:lvlJc w:val="left"/>
      <w:pPr>
        <w:ind w:left="3534" w:hanging="360"/>
      </w:pPr>
      <w:rPr>
        <w:rFonts w:hint="default"/>
        <w:lang w:val="en-US" w:eastAsia="en-US" w:bidi="en-US"/>
      </w:rPr>
    </w:lvl>
    <w:lvl w:ilvl="5" w:tplc="D750C2B4">
      <w:numFmt w:val="bullet"/>
      <w:lvlText w:val="•"/>
      <w:lvlJc w:val="left"/>
      <w:pPr>
        <w:ind w:left="4148" w:hanging="360"/>
      </w:pPr>
      <w:rPr>
        <w:rFonts w:hint="default"/>
        <w:lang w:val="en-US" w:eastAsia="en-US" w:bidi="en-US"/>
      </w:rPr>
    </w:lvl>
    <w:lvl w:ilvl="6" w:tplc="FCBC66B8">
      <w:numFmt w:val="bullet"/>
      <w:lvlText w:val="•"/>
      <w:lvlJc w:val="left"/>
      <w:pPr>
        <w:ind w:left="4761" w:hanging="360"/>
      </w:pPr>
      <w:rPr>
        <w:rFonts w:hint="default"/>
        <w:lang w:val="en-US" w:eastAsia="en-US" w:bidi="en-US"/>
      </w:rPr>
    </w:lvl>
    <w:lvl w:ilvl="7" w:tplc="F7A05A6A">
      <w:numFmt w:val="bullet"/>
      <w:lvlText w:val="•"/>
      <w:lvlJc w:val="left"/>
      <w:pPr>
        <w:ind w:left="5375" w:hanging="360"/>
      </w:pPr>
      <w:rPr>
        <w:rFonts w:hint="default"/>
        <w:lang w:val="en-US" w:eastAsia="en-US" w:bidi="en-US"/>
      </w:rPr>
    </w:lvl>
    <w:lvl w:ilvl="8" w:tplc="05EEB486">
      <w:numFmt w:val="bullet"/>
      <w:lvlText w:val="•"/>
      <w:lvlJc w:val="left"/>
      <w:pPr>
        <w:ind w:left="5988" w:hanging="360"/>
      </w:pPr>
      <w:rPr>
        <w:rFonts w:hint="default"/>
        <w:lang w:val="en-US" w:eastAsia="en-US" w:bidi="en-US"/>
      </w:rPr>
    </w:lvl>
  </w:abstractNum>
  <w:abstractNum w:abstractNumId="35" w15:restartNumberingAfterBreak="0">
    <w:nsid w:val="7AA725FA"/>
    <w:multiLevelType w:val="hybridMultilevel"/>
    <w:tmpl w:val="EEDAC4AC"/>
    <w:lvl w:ilvl="0" w:tplc="217A96E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634545">
    <w:abstractNumId w:val="34"/>
  </w:num>
  <w:num w:numId="2" w16cid:durableId="851265001">
    <w:abstractNumId w:val="0"/>
  </w:num>
  <w:num w:numId="3" w16cid:durableId="1467775385">
    <w:abstractNumId w:val="12"/>
  </w:num>
  <w:num w:numId="4" w16cid:durableId="1731074318">
    <w:abstractNumId w:val="25"/>
  </w:num>
  <w:num w:numId="5" w16cid:durableId="1829327326">
    <w:abstractNumId w:val="9"/>
  </w:num>
  <w:num w:numId="6" w16cid:durableId="2096708260">
    <w:abstractNumId w:val="16"/>
  </w:num>
  <w:num w:numId="7" w16cid:durableId="1298103595">
    <w:abstractNumId w:val="1"/>
  </w:num>
  <w:num w:numId="8" w16cid:durableId="918828376">
    <w:abstractNumId w:val="15"/>
  </w:num>
  <w:num w:numId="9" w16cid:durableId="155727767">
    <w:abstractNumId w:val="17"/>
  </w:num>
  <w:num w:numId="10" w16cid:durableId="238634899">
    <w:abstractNumId w:val="4"/>
  </w:num>
  <w:num w:numId="11" w16cid:durableId="284123488">
    <w:abstractNumId w:val="22"/>
  </w:num>
  <w:num w:numId="12" w16cid:durableId="1996031865">
    <w:abstractNumId w:val="35"/>
  </w:num>
  <w:num w:numId="13" w16cid:durableId="1335375013">
    <w:abstractNumId w:val="31"/>
  </w:num>
  <w:num w:numId="14" w16cid:durableId="1690644161">
    <w:abstractNumId w:val="18"/>
  </w:num>
  <w:num w:numId="15" w16cid:durableId="104810319">
    <w:abstractNumId w:val="7"/>
  </w:num>
  <w:num w:numId="16" w16cid:durableId="977610345">
    <w:abstractNumId w:val="2"/>
  </w:num>
  <w:num w:numId="17" w16cid:durableId="1416635410">
    <w:abstractNumId w:val="30"/>
  </w:num>
  <w:num w:numId="18" w16cid:durableId="1173447805">
    <w:abstractNumId w:val="26"/>
  </w:num>
  <w:num w:numId="19" w16cid:durableId="969701612">
    <w:abstractNumId w:val="20"/>
  </w:num>
  <w:num w:numId="20" w16cid:durableId="1450397429">
    <w:abstractNumId w:val="33"/>
  </w:num>
  <w:num w:numId="21" w16cid:durableId="1477261687">
    <w:abstractNumId w:val="14"/>
  </w:num>
  <w:num w:numId="22" w16cid:durableId="222183373">
    <w:abstractNumId w:val="27"/>
  </w:num>
  <w:num w:numId="23" w16cid:durableId="2022584130">
    <w:abstractNumId w:val="8"/>
  </w:num>
  <w:num w:numId="24" w16cid:durableId="361520208">
    <w:abstractNumId w:val="32"/>
  </w:num>
  <w:num w:numId="25" w16cid:durableId="507646986">
    <w:abstractNumId w:val="24"/>
  </w:num>
  <w:num w:numId="26" w16cid:durableId="1623150745">
    <w:abstractNumId w:val="19"/>
  </w:num>
  <w:num w:numId="27" w16cid:durableId="1523519031">
    <w:abstractNumId w:val="21"/>
  </w:num>
  <w:num w:numId="28" w16cid:durableId="483667111">
    <w:abstractNumId w:val="23"/>
  </w:num>
  <w:num w:numId="29" w16cid:durableId="1544556149">
    <w:abstractNumId w:val="28"/>
  </w:num>
  <w:num w:numId="30" w16cid:durableId="233666927">
    <w:abstractNumId w:val="5"/>
  </w:num>
  <w:num w:numId="31" w16cid:durableId="396444186">
    <w:abstractNumId w:val="6"/>
  </w:num>
  <w:num w:numId="32" w16cid:durableId="521407092">
    <w:abstractNumId w:val="10"/>
  </w:num>
  <w:num w:numId="33" w16cid:durableId="1351376789">
    <w:abstractNumId w:val="29"/>
  </w:num>
  <w:num w:numId="34" w16cid:durableId="1586840972">
    <w:abstractNumId w:val="11"/>
  </w:num>
  <w:num w:numId="35" w16cid:durableId="789471719">
    <w:abstractNumId w:val="13"/>
  </w:num>
  <w:num w:numId="36" w16cid:durableId="489250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18"/>
    <w:rsid w:val="000051BA"/>
    <w:rsid w:val="000124A3"/>
    <w:rsid w:val="00013984"/>
    <w:rsid w:val="00013CB4"/>
    <w:rsid w:val="00017B68"/>
    <w:rsid w:val="0002124E"/>
    <w:rsid w:val="00023E46"/>
    <w:rsid w:val="00030F29"/>
    <w:rsid w:val="00034A81"/>
    <w:rsid w:val="00035624"/>
    <w:rsid w:val="000365BB"/>
    <w:rsid w:val="00043FDF"/>
    <w:rsid w:val="00060F3D"/>
    <w:rsid w:val="000612DB"/>
    <w:rsid w:val="00061510"/>
    <w:rsid w:val="0006296D"/>
    <w:rsid w:val="00067A22"/>
    <w:rsid w:val="00073818"/>
    <w:rsid w:val="00074823"/>
    <w:rsid w:val="000777A1"/>
    <w:rsid w:val="00082BEE"/>
    <w:rsid w:val="0009194E"/>
    <w:rsid w:val="000A2994"/>
    <w:rsid w:val="000A781D"/>
    <w:rsid w:val="000A7BF6"/>
    <w:rsid w:val="000B30BD"/>
    <w:rsid w:val="000B34E3"/>
    <w:rsid w:val="000C17BC"/>
    <w:rsid w:val="000C3C8B"/>
    <w:rsid w:val="000C521A"/>
    <w:rsid w:val="000D0DEC"/>
    <w:rsid w:val="000E0C08"/>
    <w:rsid w:val="000F37E5"/>
    <w:rsid w:val="0010001B"/>
    <w:rsid w:val="001008BB"/>
    <w:rsid w:val="0011443D"/>
    <w:rsid w:val="00115829"/>
    <w:rsid w:val="00115EC5"/>
    <w:rsid w:val="00122609"/>
    <w:rsid w:val="00124EFD"/>
    <w:rsid w:val="00126FC0"/>
    <w:rsid w:val="00127882"/>
    <w:rsid w:val="001317F8"/>
    <w:rsid w:val="00137543"/>
    <w:rsid w:val="001424E8"/>
    <w:rsid w:val="00142EF2"/>
    <w:rsid w:val="00152BEF"/>
    <w:rsid w:val="001561F4"/>
    <w:rsid w:val="001675A5"/>
    <w:rsid w:val="00167B62"/>
    <w:rsid w:val="00174459"/>
    <w:rsid w:val="00175833"/>
    <w:rsid w:val="001825A7"/>
    <w:rsid w:val="0018471B"/>
    <w:rsid w:val="0019082B"/>
    <w:rsid w:val="001974C8"/>
    <w:rsid w:val="00197B5F"/>
    <w:rsid w:val="001A1E11"/>
    <w:rsid w:val="001A521B"/>
    <w:rsid w:val="001A78CB"/>
    <w:rsid w:val="001C429E"/>
    <w:rsid w:val="001C74F0"/>
    <w:rsid w:val="001D15B4"/>
    <w:rsid w:val="001D1C9A"/>
    <w:rsid w:val="001D1FFC"/>
    <w:rsid w:val="001D7804"/>
    <w:rsid w:val="001E25D0"/>
    <w:rsid w:val="001F23A8"/>
    <w:rsid w:val="0020197A"/>
    <w:rsid w:val="0020227A"/>
    <w:rsid w:val="00211F1C"/>
    <w:rsid w:val="002124CD"/>
    <w:rsid w:val="002145AA"/>
    <w:rsid w:val="00214C10"/>
    <w:rsid w:val="00220289"/>
    <w:rsid w:val="00226C62"/>
    <w:rsid w:val="002303A8"/>
    <w:rsid w:val="00235D54"/>
    <w:rsid w:val="002467C1"/>
    <w:rsid w:val="002521DA"/>
    <w:rsid w:val="00260731"/>
    <w:rsid w:val="0027518A"/>
    <w:rsid w:val="00280B80"/>
    <w:rsid w:val="00281E93"/>
    <w:rsid w:val="00287B53"/>
    <w:rsid w:val="00295833"/>
    <w:rsid w:val="002A0312"/>
    <w:rsid w:val="002A0F90"/>
    <w:rsid w:val="002A1031"/>
    <w:rsid w:val="002A289B"/>
    <w:rsid w:val="002A3628"/>
    <w:rsid w:val="002A7AD5"/>
    <w:rsid w:val="002B6BFE"/>
    <w:rsid w:val="002C1E20"/>
    <w:rsid w:val="002C55FC"/>
    <w:rsid w:val="002E2684"/>
    <w:rsid w:val="002E3924"/>
    <w:rsid w:val="002F27C9"/>
    <w:rsid w:val="002F6342"/>
    <w:rsid w:val="002F6733"/>
    <w:rsid w:val="002F7DB8"/>
    <w:rsid w:val="0030139A"/>
    <w:rsid w:val="00302CC1"/>
    <w:rsid w:val="003068A3"/>
    <w:rsid w:val="00306BDA"/>
    <w:rsid w:val="00311CF9"/>
    <w:rsid w:val="00313CC6"/>
    <w:rsid w:val="00322F04"/>
    <w:rsid w:val="0032545C"/>
    <w:rsid w:val="00332CDD"/>
    <w:rsid w:val="003365ED"/>
    <w:rsid w:val="00343B4D"/>
    <w:rsid w:val="00343BB2"/>
    <w:rsid w:val="00344DE8"/>
    <w:rsid w:val="00354E96"/>
    <w:rsid w:val="003560FE"/>
    <w:rsid w:val="003670AC"/>
    <w:rsid w:val="00371E23"/>
    <w:rsid w:val="003752F7"/>
    <w:rsid w:val="00383623"/>
    <w:rsid w:val="0038467D"/>
    <w:rsid w:val="00385363"/>
    <w:rsid w:val="003B53B6"/>
    <w:rsid w:val="003B61D1"/>
    <w:rsid w:val="003B6C92"/>
    <w:rsid w:val="003C13BD"/>
    <w:rsid w:val="003D3783"/>
    <w:rsid w:val="003D71E5"/>
    <w:rsid w:val="003E5764"/>
    <w:rsid w:val="003E751D"/>
    <w:rsid w:val="003F3D65"/>
    <w:rsid w:val="003F405B"/>
    <w:rsid w:val="004038BA"/>
    <w:rsid w:val="004140C9"/>
    <w:rsid w:val="0041483D"/>
    <w:rsid w:val="004219DD"/>
    <w:rsid w:val="00421B65"/>
    <w:rsid w:val="00425C05"/>
    <w:rsid w:val="00434325"/>
    <w:rsid w:val="00435BF7"/>
    <w:rsid w:val="00440B83"/>
    <w:rsid w:val="00443A59"/>
    <w:rsid w:val="0044625A"/>
    <w:rsid w:val="004470F9"/>
    <w:rsid w:val="004509F1"/>
    <w:rsid w:val="00451AB3"/>
    <w:rsid w:val="0045472E"/>
    <w:rsid w:val="004604D1"/>
    <w:rsid w:val="00465C0A"/>
    <w:rsid w:val="00474EBC"/>
    <w:rsid w:val="00475BFB"/>
    <w:rsid w:val="0047616B"/>
    <w:rsid w:val="0047715F"/>
    <w:rsid w:val="00483B52"/>
    <w:rsid w:val="0048427B"/>
    <w:rsid w:val="00494F4F"/>
    <w:rsid w:val="00496B15"/>
    <w:rsid w:val="004A368D"/>
    <w:rsid w:val="004A38A8"/>
    <w:rsid w:val="004A4647"/>
    <w:rsid w:val="004B01C5"/>
    <w:rsid w:val="004B4326"/>
    <w:rsid w:val="004C1648"/>
    <w:rsid w:val="004C1D0C"/>
    <w:rsid w:val="004C3865"/>
    <w:rsid w:val="004C3CAA"/>
    <w:rsid w:val="004C4AD1"/>
    <w:rsid w:val="004C5E90"/>
    <w:rsid w:val="004D1DB0"/>
    <w:rsid w:val="004D5528"/>
    <w:rsid w:val="004E211D"/>
    <w:rsid w:val="004F0E79"/>
    <w:rsid w:val="004F1335"/>
    <w:rsid w:val="004F157B"/>
    <w:rsid w:val="004F4DE5"/>
    <w:rsid w:val="004F70DE"/>
    <w:rsid w:val="00500DF6"/>
    <w:rsid w:val="00502C49"/>
    <w:rsid w:val="00505776"/>
    <w:rsid w:val="005138BB"/>
    <w:rsid w:val="005164AE"/>
    <w:rsid w:val="005213C0"/>
    <w:rsid w:val="0052414C"/>
    <w:rsid w:val="005264DB"/>
    <w:rsid w:val="00527C2D"/>
    <w:rsid w:val="00530E10"/>
    <w:rsid w:val="00536C46"/>
    <w:rsid w:val="00541E1E"/>
    <w:rsid w:val="005479D4"/>
    <w:rsid w:val="00547F31"/>
    <w:rsid w:val="00550086"/>
    <w:rsid w:val="00552298"/>
    <w:rsid w:val="0055725D"/>
    <w:rsid w:val="00560B26"/>
    <w:rsid w:val="00566011"/>
    <w:rsid w:val="005662F2"/>
    <w:rsid w:val="00580EB7"/>
    <w:rsid w:val="00585DAF"/>
    <w:rsid w:val="00590061"/>
    <w:rsid w:val="00597C3C"/>
    <w:rsid w:val="005A1E6F"/>
    <w:rsid w:val="005A3B32"/>
    <w:rsid w:val="005A5A2B"/>
    <w:rsid w:val="005A5C9D"/>
    <w:rsid w:val="005A6C9E"/>
    <w:rsid w:val="005B1FDB"/>
    <w:rsid w:val="005B3F43"/>
    <w:rsid w:val="005B7891"/>
    <w:rsid w:val="005E2427"/>
    <w:rsid w:val="005F4DA3"/>
    <w:rsid w:val="005F600A"/>
    <w:rsid w:val="00600723"/>
    <w:rsid w:val="006108E1"/>
    <w:rsid w:val="00614D03"/>
    <w:rsid w:val="0061693E"/>
    <w:rsid w:val="006171A1"/>
    <w:rsid w:val="006179DA"/>
    <w:rsid w:val="00626F90"/>
    <w:rsid w:val="006270C5"/>
    <w:rsid w:val="00630CB9"/>
    <w:rsid w:val="00633D47"/>
    <w:rsid w:val="006359B4"/>
    <w:rsid w:val="00641E27"/>
    <w:rsid w:val="006420F9"/>
    <w:rsid w:val="00642BCD"/>
    <w:rsid w:val="006448F2"/>
    <w:rsid w:val="00654D66"/>
    <w:rsid w:val="00656D7C"/>
    <w:rsid w:val="0065766E"/>
    <w:rsid w:val="006615D6"/>
    <w:rsid w:val="00662917"/>
    <w:rsid w:val="0067006A"/>
    <w:rsid w:val="00670E2A"/>
    <w:rsid w:val="0067232E"/>
    <w:rsid w:val="00682E5B"/>
    <w:rsid w:val="00683A7B"/>
    <w:rsid w:val="006A5352"/>
    <w:rsid w:val="006A6C88"/>
    <w:rsid w:val="006B608B"/>
    <w:rsid w:val="006C237B"/>
    <w:rsid w:val="006C4D1F"/>
    <w:rsid w:val="006C59D7"/>
    <w:rsid w:val="006D16B6"/>
    <w:rsid w:val="006D285F"/>
    <w:rsid w:val="006D6067"/>
    <w:rsid w:val="006D726F"/>
    <w:rsid w:val="006E0A89"/>
    <w:rsid w:val="006E12B9"/>
    <w:rsid w:val="006F05D2"/>
    <w:rsid w:val="006F2319"/>
    <w:rsid w:val="006F5420"/>
    <w:rsid w:val="00700553"/>
    <w:rsid w:val="00703613"/>
    <w:rsid w:val="00707396"/>
    <w:rsid w:val="00710D35"/>
    <w:rsid w:val="00710DFE"/>
    <w:rsid w:val="00714BC5"/>
    <w:rsid w:val="00720072"/>
    <w:rsid w:val="0072424B"/>
    <w:rsid w:val="00724C2F"/>
    <w:rsid w:val="00732156"/>
    <w:rsid w:val="00732ABB"/>
    <w:rsid w:val="00736AE4"/>
    <w:rsid w:val="00752B70"/>
    <w:rsid w:val="007548FE"/>
    <w:rsid w:val="00757EDB"/>
    <w:rsid w:val="00767354"/>
    <w:rsid w:val="00780EC8"/>
    <w:rsid w:val="00794BA7"/>
    <w:rsid w:val="007979C7"/>
    <w:rsid w:val="007A5DD3"/>
    <w:rsid w:val="007A7252"/>
    <w:rsid w:val="007B30E7"/>
    <w:rsid w:val="007B36AF"/>
    <w:rsid w:val="007B55A7"/>
    <w:rsid w:val="007B596C"/>
    <w:rsid w:val="007B66D5"/>
    <w:rsid w:val="007C11DA"/>
    <w:rsid w:val="007C292C"/>
    <w:rsid w:val="007C3A75"/>
    <w:rsid w:val="007D1AB4"/>
    <w:rsid w:val="007D25A2"/>
    <w:rsid w:val="007D662C"/>
    <w:rsid w:val="007E7E9A"/>
    <w:rsid w:val="007F474D"/>
    <w:rsid w:val="007F4A02"/>
    <w:rsid w:val="00801AC0"/>
    <w:rsid w:val="00804267"/>
    <w:rsid w:val="00805A00"/>
    <w:rsid w:val="00806DEB"/>
    <w:rsid w:val="00807307"/>
    <w:rsid w:val="008140D9"/>
    <w:rsid w:val="00815ADF"/>
    <w:rsid w:val="00824B2D"/>
    <w:rsid w:val="00826CF9"/>
    <w:rsid w:val="00826F7B"/>
    <w:rsid w:val="008309A7"/>
    <w:rsid w:val="00831193"/>
    <w:rsid w:val="00832B25"/>
    <w:rsid w:val="008350E4"/>
    <w:rsid w:val="00837356"/>
    <w:rsid w:val="00853FEB"/>
    <w:rsid w:val="00855AC8"/>
    <w:rsid w:val="00856E3B"/>
    <w:rsid w:val="00862A33"/>
    <w:rsid w:val="00865116"/>
    <w:rsid w:val="00865F4F"/>
    <w:rsid w:val="00875987"/>
    <w:rsid w:val="008825ED"/>
    <w:rsid w:val="008837DA"/>
    <w:rsid w:val="00885E17"/>
    <w:rsid w:val="00892039"/>
    <w:rsid w:val="0089291F"/>
    <w:rsid w:val="00892931"/>
    <w:rsid w:val="00896F7B"/>
    <w:rsid w:val="008A6B00"/>
    <w:rsid w:val="008B0C5C"/>
    <w:rsid w:val="008B4AF3"/>
    <w:rsid w:val="008B5CEC"/>
    <w:rsid w:val="008C0C4B"/>
    <w:rsid w:val="008C7728"/>
    <w:rsid w:val="008C799F"/>
    <w:rsid w:val="008F1865"/>
    <w:rsid w:val="008F1B01"/>
    <w:rsid w:val="008F3B39"/>
    <w:rsid w:val="009036E6"/>
    <w:rsid w:val="00907B3E"/>
    <w:rsid w:val="00914EE1"/>
    <w:rsid w:val="009205AF"/>
    <w:rsid w:val="009235EF"/>
    <w:rsid w:val="009318A7"/>
    <w:rsid w:val="00942002"/>
    <w:rsid w:val="0095162D"/>
    <w:rsid w:val="00955320"/>
    <w:rsid w:val="00961016"/>
    <w:rsid w:val="00966B48"/>
    <w:rsid w:val="009709B7"/>
    <w:rsid w:val="00972854"/>
    <w:rsid w:val="00973DF7"/>
    <w:rsid w:val="0098086D"/>
    <w:rsid w:val="00984633"/>
    <w:rsid w:val="00984B91"/>
    <w:rsid w:val="00984EDB"/>
    <w:rsid w:val="0099069E"/>
    <w:rsid w:val="00990894"/>
    <w:rsid w:val="00992B09"/>
    <w:rsid w:val="009939B0"/>
    <w:rsid w:val="009976D8"/>
    <w:rsid w:val="009A359A"/>
    <w:rsid w:val="009A68EC"/>
    <w:rsid w:val="009B0B5D"/>
    <w:rsid w:val="009B3F2E"/>
    <w:rsid w:val="009B7D94"/>
    <w:rsid w:val="009D199D"/>
    <w:rsid w:val="009D1ED2"/>
    <w:rsid w:val="009D2FD3"/>
    <w:rsid w:val="009D3682"/>
    <w:rsid w:val="009D73BC"/>
    <w:rsid w:val="009E6133"/>
    <w:rsid w:val="009E62D9"/>
    <w:rsid w:val="009F5342"/>
    <w:rsid w:val="009F6418"/>
    <w:rsid w:val="009F7F52"/>
    <w:rsid w:val="00A006CC"/>
    <w:rsid w:val="00A20361"/>
    <w:rsid w:val="00A208E0"/>
    <w:rsid w:val="00A218B8"/>
    <w:rsid w:val="00A21DF1"/>
    <w:rsid w:val="00A22D33"/>
    <w:rsid w:val="00A22FC5"/>
    <w:rsid w:val="00A25AA3"/>
    <w:rsid w:val="00A333E7"/>
    <w:rsid w:val="00A33FB5"/>
    <w:rsid w:val="00A40620"/>
    <w:rsid w:val="00A5275A"/>
    <w:rsid w:val="00A55169"/>
    <w:rsid w:val="00A61234"/>
    <w:rsid w:val="00A6574A"/>
    <w:rsid w:val="00A66342"/>
    <w:rsid w:val="00A7016D"/>
    <w:rsid w:val="00A736FA"/>
    <w:rsid w:val="00A82B0A"/>
    <w:rsid w:val="00A82BEC"/>
    <w:rsid w:val="00A84BB8"/>
    <w:rsid w:val="00A87C66"/>
    <w:rsid w:val="00A97C01"/>
    <w:rsid w:val="00AA2958"/>
    <w:rsid w:val="00AA7FED"/>
    <w:rsid w:val="00AB1C4C"/>
    <w:rsid w:val="00AB3394"/>
    <w:rsid w:val="00AB34A3"/>
    <w:rsid w:val="00AB5304"/>
    <w:rsid w:val="00AB7481"/>
    <w:rsid w:val="00AD2551"/>
    <w:rsid w:val="00AD31E7"/>
    <w:rsid w:val="00AD7432"/>
    <w:rsid w:val="00AE3E63"/>
    <w:rsid w:val="00AF44BC"/>
    <w:rsid w:val="00AF4B63"/>
    <w:rsid w:val="00B026EE"/>
    <w:rsid w:val="00B10924"/>
    <w:rsid w:val="00B21CEB"/>
    <w:rsid w:val="00B22185"/>
    <w:rsid w:val="00B2558A"/>
    <w:rsid w:val="00B36CE1"/>
    <w:rsid w:val="00B42EBB"/>
    <w:rsid w:val="00B44743"/>
    <w:rsid w:val="00B5198B"/>
    <w:rsid w:val="00B52DA9"/>
    <w:rsid w:val="00B54AC7"/>
    <w:rsid w:val="00B60F07"/>
    <w:rsid w:val="00B64843"/>
    <w:rsid w:val="00B673DE"/>
    <w:rsid w:val="00B76282"/>
    <w:rsid w:val="00B82D3B"/>
    <w:rsid w:val="00B84273"/>
    <w:rsid w:val="00B93BD8"/>
    <w:rsid w:val="00BA62B5"/>
    <w:rsid w:val="00BA6AA7"/>
    <w:rsid w:val="00BB092D"/>
    <w:rsid w:val="00BC391D"/>
    <w:rsid w:val="00BC397E"/>
    <w:rsid w:val="00BC611B"/>
    <w:rsid w:val="00BD1BF0"/>
    <w:rsid w:val="00BD31C5"/>
    <w:rsid w:val="00BD3FB6"/>
    <w:rsid w:val="00BE5E40"/>
    <w:rsid w:val="00BE7B81"/>
    <w:rsid w:val="00BE7CBE"/>
    <w:rsid w:val="00BF11EC"/>
    <w:rsid w:val="00BF4BAB"/>
    <w:rsid w:val="00C02417"/>
    <w:rsid w:val="00C0248E"/>
    <w:rsid w:val="00C10057"/>
    <w:rsid w:val="00C13EFA"/>
    <w:rsid w:val="00C20F88"/>
    <w:rsid w:val="00C324E3"/>
    <w:rsid w:val="00C33DD9"/>
    <w:rsid w:val="00C435CA"/>
    <w:rsid w:val="00C46621"/>
    <w:rsid w:val="00C51C9E"/>
    <w:rsid w:val="00C60679"/>
    <w:rsid w:val="00C615E0"/>
    <w:rsid w:val="00C62EE0"/>
    <w:rsid w:val="00C63556"/>
    <w:rsid w:val="00C64A51"/>
    <w:rsid w:val="00C67978"/>
    <w:rsid w:val="00C704EE"/>
    <w:rsid w:val="00C70E80"/>
    <w:rsid w:val="00C73CDC"/>
    <w:rsid w:val="00C75B56"/>
    <w:rsid w:val="00C83504"/>
    <w:rsid w:val="00C855DA"/>
    <w:rsid w:val="00C904E3"/>
    <w:rsid w:val="00C90DB1"/>
    <w:rsid w:val="00C9221C"/>
    <w:rsid w:val="00C94C0F"/>
    <w:rsid w:val="00CA633A"/>
    <w:rsid w:val="00CB1DC4"/>
    <w:rsid w:val="00CB5951"/>
    <w:rsid w:val="00CC0A5A"/>
    <w:rsid w:val="00CD09A9"/>
    <w:rsid w:val="00CD1D80"/>
    <w:rsid w:val="00CD27EC"/>
    <w:rsid w:val="00CE28B5"/>
    <w:rsid w:val="00CE7110"/>
    <w:rsid w:val="00CF1153"/>
    <w:rsid w:val="00D04FF7"/>
    <w:rsid w:val="00D0694D"/>
    <w:rsid w:val="00D075E7"/>
    <w:rsid w:val="00D10836"/>
    <w:rsid w:val="00D12EB7"/>
    <w:rsid w:val="00D22AE3"/>
    <w:rsid w:val="00D3159A"/>
    <w:rsid w:val="00D44154"/>
    <w:rsid w:val="00D44C6A"/>
    <w:rsid w:val="00D47DB3"/>
    <w:rsid w:val="00D50EC6"/>
    <w:rsid w:val="00D54C3B"/>
    <w:rsid w:val="00D56F06"/>
    <w:rsid w:val="00D61C93"/>
    <w:rsid w:val="00D638B1"/>
    <w:rsid w:val="00D63986"/>
    <w:rsid w:val="00D645AD"/>
    <w:rsid w:val="00D64D3F"/>
    <w:rsid w:val="00D66735"/>
    <w:rsid w:val="00D769C3"/>
    <w:rsid w:val="00D77487"/>
    <w:rsid w:val="00D9052B"/>
    <w:rsid w:val="00D909AF"/>
    <w:rsid w:val="00D9315D"/>
    <w:rsid w:val="00D93CE4"/>
    <w:rsid w:val="00D95727"/>
    <w:rsid w:val="00DA0B29"/>
    <w:rsid w:val="00DA135D"/>
    <w:rsid w:val="00DA6CC6"/>
    <w:rsid w:val="00DB1F9F"/>
    <w:rsid w:val="00DB23AC"/>
    <w:rsid w:val="00DB51ED"/>
    <w:rsid w:val="00DB5510"/>
    <w:rsid w:val="00DC537F"/>
    <w:rsid w:val="00DC6ACE"/>
    <w:rsid w:val="00DD0571"/>
    <w:rsid w:val="00DD0A77"/>
    <w:rsid w:val="00DD39B2"/>
    <w:rsid w:val="00DD630C"/>
    <w:rsid w:val="00DD7179"/>
    <w:rsid w:val="00DE64F1"/>
    <w:rsid w:val="00DF25A1"/>
    <w:rsid w:val="00DF28AF"/>
    <w:rsid w:val="00E03BB8"/>
    <w:rsid w:val="00E15AF0"/>
    <w:rsid w:val="00E16A24"/>
    <w:rsid w:val="00E23712"/>
    <w:rsid w:val="00E24D0F"/>
    <w:rsid w:val="00E24EF0"/>
    <w:rsid w:val="00E26AFB"/>
    <w:rsid w:val="00E26B25"/>
    <w:rsid w:val="00E300EF"/>
    <w:rsid w:val="00E311E8"/>
    <w:rsid w:val="00E317A6"/>
    <w:rsid w:val="00E31C7E"/>
    <w:rsid w:val="00E31CD0"/>
    <w:rsid w:val="00E35B4C"/>
    <w:rsid w:val="00E44B84"/>
    <w:rsid w:val="00E520F3"/>
    <w:rsid w:val="00E5281B"/>
    <w:rsid w:val="00E52F77"/>
    <w:rsid w:val="00E53754"/>
    <w:rsid w:val="00E56B2D"/>
    <w:rsid w:val="00E67584"/>
    <w:rsid w:val="00E77B6F"/>
    <w:rsid w:val="00E8009D"/>
    <w:rsid w:val="00EA1256"/>
    <w:rsid w:val="00EA227F"/>
    <w:rsid w:val="00EB3858"/>
    <w:rsid w:val="00EC0A6F"/>
    <w:rsid w:val="00EC7468"/>
    <w:rsid w:val="00ED4D2D"/>
    <w:rsid w:val="00EE42B3"/>
    <w:rsid w:val="00EE44E8"/>
    <w:rsid w:val="00F06AD0"/>
    <w:rsid w:val="00F10E05"/>
    <w:rsid w:val="00F1295E"/>
    <w:rsid w:val="00F13AEE"/>
    <w:rsid w:val="00F14BA9"/>
    <w:rsid w:val="00F15FC2"/>
    <w:rsid w:val="00F16AD5"/>
    <w:rsid w:val="00F20DC2"/>
    <w:rsid w:val="00F26012"/>
    <w:rsid w:val="00F311DF"/>
    <w:rsid w:val="00F36CCB"/>
    <w:rsid w:val="00F46297"/>
    <w:rsid w:val="00F47A5E"/>
    <w:rsid w:val="00F557D1"/>
    <w:rsid w:val="00F5614A"/>
    <w:rsid w:val="00F624D3"/>
    <w:rsid w:val="00F64CFB"/>
    <w:rsid w:val="00F65640"/>
    <w:rsid w:val="00F67B74"/>
    <w:rsid w:val="00F71A26"/>
    <w:rsid w:val="00F75B26"/>
    <w:rsid w:val="00F767DF"/>
    <w:rsid w:val="00F80FFD"/>
    <w:rsid w:val="00F82992"/>
    <w:rsid w:val="00F87C7B"/>
    <w:rsid w:val="00F950E8"/>
    <w:rsid w:val="00F96814"/>
    <w:rsid w:val="00F97A57"/>
    <w:rsid w:val="00FA0100"/>
    <w:rsid w:val="00FA3487"/>
    <w:rsid w:val="00FA634D"/>
    <w:rsid w:val="00FB0BB1"/>
    <w:rsid w:val="00FB4C2F"/>
    <w:rsid w:val="00FB538A"/>
    <w:rsid w:val="00FC170B"/>
    <w:rsid w:val="00FC2013"/>
    <w:rsid w:val="00FD067D"/>
    <w:rsid w:val="00FD27E3"/>
    <w:rsid w:val="00FD64A6"/>
    <w:rsid w:val="00FD6D83"/>
    <w:rsid w:val="00FD7CD7"/>
    <w:rsid w:val="00FE6C55"/>
    <w:rsid w:val="35CE963E"/>
    <w:rsid w:val="631C4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79B0"/>
  <w15:docId w15:val="{26348085-19DE-0147-A356-8B38D7E5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sz w:val="21"/>
      <w:szCs w:val="21"/>
    </w:rPr>
  </w:style>
  <w:style w:type="paragraph" w:styleId="Heading2">
    <w:name w:val="heading 2"/>
    <w:basedOn w:val="Normal"/>
    <w:uiPriority w:val="9"/>
    <w:unhideWhenUsed/>
    <w:qFormat/>
    <w:pPr>
      <w:spacing w:before="80"/>
      <w:ind w:left="3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spacing w:before="41"/>
      <w:ind w:left="7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312"/>
    <w:pPr>
      <w:tabs>
        <w:tab w:val="center" w:pos="4680"/>
        <w:tab w:val="right" w:pos="9360"/>
      </w:tabs>
    </w:pPr>
  </w:style>
  <w:style w:type="character" w:customStyle="1" w:styleId="HeaderChar">
    <w:name w:val="Header Char"/>
    <w:basedOn w:val="DefaultParagraphFont"/>
    <w:link w:val="Header"/>
    <w:uiPriority w:val="99"/>
    <w:rsid w:val="002A0312"/>
    <w:rPr>
      <w:rFonts w:ascii="Calibri" w:eastAsia="Calibri" w:hAnsi="Calibri" w:cs="Calibri"/>
      <w:lang w:bidi="en-US"/>
    </w:rPr>
  </w:style>
  <w:style w:type="paragraph" w:styleId="Footer">
    <w:name w:val="footer"/>
    <w:basedOn w:val="Normal"/>
    <w:link w:val="FooterChar"/>
    <w:uiPriority w:val="99"/>
    <w:unhideWhenUsed/>
    <w:rsid w:val="002A0312"/>
    <w:pPr>
      <w:tabs>
        <w:tab w:val="center" w:pos="4680"/>
        <w:tab w:val="right" w:pos="9360"/>
      </w:tabs>
    </w:pPr>
  </w:style>
  <w:style w:type="character" w:customStyle="1" w:styleId="FooterChar">
    <w:name w:val="Footer Char"/>
    <w:basedOn w:val="DefaultParagraphFont"/>
    <w:link w:val="Footer"/>
    <w:uiPriority w:val="99"/>
    <w:rsid w:val="002A0312"/>
    <w:rPr>
      <w:rFonts w:ascii="Calibri" w:eastAsia="Calibri" w:hAnsi="Calibri" w:cs="Calibri"/>
      <w:lang w:bidi="en-US"/>
    </w:rPr>
  </w:style>
  <w:style w:type="character" w:styleId="CommentReference">
    <w:name w:val="annotation reference"/>
    <w:basedOn w:val="DefaultParagraphFont"/>
    <w:uiPriority w:val="99"/>
    <w:unhideWhenUsed/>
    <w:rsid w:val="00F67B74"/>
    <w:rPr>
      <w:sz w:val="16"/>
      <w:szCs w:val="16"/>
    </w:rPr>
  </w:style>
  <w:style w:type="paragraph" w:styleId="CommentText">
    <w:name w:val="annotation text"/>
    <w:aliases w:val="Annotationtext,Comment Text Char Char,Comment Text Char1 Char Char,Comment Text Char Char Char Char,Comment Text Char Char1,Comment Text Char1 Char,Comment Text Char1,- H19"/>
    <w:basedOn w:val="Normal"/>
    <w:link w:val="CommentTextChar"/>
    <w:uiPriority w:val="99"/>
    <w:unhideWhenUsed/>
    <w:qFormat/>
    <w:rsid w:val="00F67B74"/>
    <w:rPr>
      <w:sz w:val="20"/>
      <w:szCs w:val="20"/>
    </w:rPr>
  </w:style>
  <w:style w:type="character" w:customStyle="1" w:styleId="CommentTextChar">
    <w:name w:val="Comment Text Char"/>
    <w:aliases w:val="Annotationtext Char,Comment Text Char Char Char,Comment Text Char1 Char Char Char,Comment Text Char Char Char Char Char,Comment Text Char Char1 Char,Comment Text Char1 Char Char1,Comment Text Char1 Char1,- H19 Char"/>
    <w:basedOn w:val="DefaultParagraphFont"/>
    <w:link w:val="CommentText"/>
    <w:uiPriority w:val="99"/>
    <w:rsid w:val="00F67B7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67B74"/>
    <w:rPr>
      <w:b/>
      <w:bCs/>
    </w:rPr>
  </w:style>
  <w:style w:type="character" w:customStyle="1" w:styleId="CommentSubjectChar">
    <w:name w:val="Comment Subject Char"/>
    <w:basedOn w:val="CommentTextChar"/>
    <w:link w:val="CommentSubject"/>
    <w:uiPriority w:val="99"/>
    <w:semiHidden/>
    <w:rsid w:val="00F67B74"/>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67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B74"/>
    <w:rPr>
      <w:rFonts w:ascii="Segoe UI" w:eastAsia="Calibri" w:hAnsi="Segoe UI" w:cs="Segoe UI"/>
      <w:sz w:val="18"/>
      <w:szCs w:val="18"/>
      <w:lang w:bidi="en-US"/>
    </w:rPr>
  </w:style>
  <w:style w:type="character" w:styleId="Hyperlink">
    <w:name w:val="Hyperlink"/>
    <w:basedOn w:val="DefaultParagraphFont"/>
    <w:uiPriority w:val="99"/>
    <w:unhideWhenUsed/>
    <w:rsid w:val="004F0E79"/>
    <w:rPr>
      <w:color w:val="0000FF"/>
      <w:u w:val="single"/>
    </w:rPr>
  </w:style>
  <w:style w:type="character" w:styleId="FollowedHyperlink">
    <w:name w:val="FollowedHyperlink"/>
    <w:basedOn w:val="DefaultParagraphFont"/>
    <w:uiPriority w:val="99"/>
    <w:semiHidden/>
    <w:unhideWhenUsed/>
    <w:rsid w:val="00FC170B"/>
    <w:rPr>
      <w:color w:val="800080" w:themeColor="followedHyperlink"/>
      <w:u w:val="single"/>
    </w:rPr>
  </w:style>
  <w:style w:type="character" w:styleId="UnresolvedMention">
    <w:name w:val="Unresolved Mention"/>
    <w:basedOn w:val="DefaultParagraphFont"/>
    <w:uiPriority w:val="99"/>
    <w:semiHidden/>
    <w:unhideWhenUsed/>
    <w:rsid w:val="00641E27"/>
    <w:rPr>
      <w:color w:val="605E5C"/>
      <w:shd w:val="clear" w:color="auto" w:fill="E1DFDD"/>
    </w:rPr>
  </w:style>
  <w:style w:type="character" w:customStyle="1" w:styleId="ListParagraphChar">
    <w:name w:val="List Paragraph Char"/>
    <w:basedOn w:val="DefaultParagraphFont"/>
    <w:link w:val="ListParagraph"/>
    <w:uiPriority w:val="34"/>
    <w:rsid w:val="00C90DB1"/>
    <w:rPr>
      <w:rFonts w:ascii="Calibri" w:eastAsia="Calibri" w:hAnsi="Calibri" w:cs="Calibri"/>
      <w:lang w:bidi="en-US"/>
    </w:rPr>
  </w:style>
  <w:style w:type="paragraph" w:styleId="Revision">
    <w:name w:val="Revision"/>
    <w:hidden/>
    <w:uiPriority w:val="99"/>
    <w:semiHidden/>
    <w:rsid w:val="000777A1"/>
    <w:pPr>
      <w:widowControl/>
      <w:autoSpaceDE/>
      <w:autoSpaceDN/>
    </w:pPr>
    <w:rPr>
      <w:rFonts w:ascii="Calibri" w:eastAsia="Calibri" w:hAnsi="Calibri" w:cs="Calibri"/>
      <w:lang w:bidi="en-US"/>
    </w:rPr>
  </w:style>
  <w:style w:type="paragraph" w:styleId="NormalWeb">
    <w:name w:val="Normal (Web)"/>
    <w:basedOn w:val="Normal"/>
    <w:uiPriority w:val="99"/>
    <w:semiHidden/>
    <w:unhideWhenUsed/>
    <w:rsid w:val="006D726F"/>
    <w:rPr>
      <w:rFonts w:ascii="Times New Roman" w:hAnsi="Times New Roman" w:cs="Times New Roman"/>
      <w:sz w:val="24"/>
      <w:szCs w:val="24"/>
    </w:rPr>
  </w:style>
  <w:style w:type="character" w:customStyle="1" w:styleId="ui-provider">
    <w:name w:val="ui-provider"/>
    <w:basedOn w:val="DefaultParagraphFont"/>
    <w:rsid w:val="0031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345">
      <w:bodyDiv w:val="1"/>
      <w:marLeft w:val="0"/>
      <w:marRight w:val="0"/>
      <w:marTop w:val="0"/>
      <w:marBottom w:val="0"/>
      <w:divBdr>
        <w:top w:val="none" w:sz="0" w:space="0" w:color="auto"/>
        <w:left w:val="none" w:sz="0" w:space="0" w:color="auto"/>
        <w:bottom w:val="none" w:sz="0" w:space="0" w:color="auto"/>
        <w:right w:val="none" w:sz="0" w:space="0" w:color="auto"/>
      </w:divBdr>
      <w:divsChild>
        <w:div w:id="1105268827">
          <w:marLeft w:val="0"/>
          <w:marRight w:val="0"/>
          <w:marTop w:val="0"/>
          <w:marBottom w:val="0"/>
          <w:divBdr>
            <w:top w:val="none" w:sz="0" w:space="0" w:color="auto"/>
            <w:left w:val="none" w:sz="0" w:space="0" w:color="auto"/>
            <w:bottom w:val="none" w:sz="0" w:space="0" w:color="auto"/>
            <w:right w:val="none" w:sz="0" w:space="0" w:color="auto"/>
          </w:divBdr>
          <w:divsChild>
            <w:div w:id="1815831847">
              <w:marLeft w:val="0"/>
              <w:marRight w:val="0"/>
              <w:marTop w:val="0"/>
              <w:marBottom w:val="0"/>
              <w:divBdr>
                <w:top w:val="none" w:sz="0" w:space="0" w:color="auto"/>
                <w:left w:val="none" w:sz="0" w:space="0" w:color="auto"/>
                <w:bottom w:val="none" w:sz="0" w:space="0" w:color="auto"/>
                <w:right w:val="none" w:sz="0" w:space="0" w:color="auto"/>
              </w:divBdr>
              <w:divsChild>
                <w:div w:id="19480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596">
      <w:bodyDiv w:val="1"/>
      <w:marLeft w:val="0"/>
      <w:marRight w:val="0"/>
      <w:marTop w:val="0"/>
      <w:marBottom w:val="0"/>
      <w:divBdr>
        <w:top w:val="none" w:sz="0" w:space="0" w:color="auto"/>
        <w:left w:val="none" w:sz="0" w:space="0" w:color="auto"/>
        <w:bottom w:val="none" w:sz="0" w:space="0" w:color="auto"/>
        <w:right w:val="none" w:sz="0" w:space="0" w:color="auto"/>
      </w:divBdr>
      <w:divsChild>
        <w:div w:id="1998343774">
          <w:marLeft w:val="0"/>
          <w:marRight w:val="0"/>
          <w:marTop w:val="0"/>
          <w:marBottom w:val="0"/>
          <w:divBdr>
            <w:top w:val="none" w:sz="0" w:space="0" w:color="auto"/>
            <w:left w:val="none" w:sz="0" w:space="0" w:color="auto"/>
            <w:bottom w:val="none" w:sz="0" w:space="0" w:color="auto"/>
            <w:right w:val="none" w:sz="0" w:space="0" w:color="auto"/>
          </w:divBdr>
          <w:divsChild>
            <w:div w:id="659769225">
              <w:marLeft w:val="0"/>
              <w:marRight w:val="0"/>
              <w:marTop w:val="0"/>
              <w:marBottom w:val="0"/>
              <w:divBdr>
                <w:top w:val="none" w:sz="0" w:space="0" w:color="auto"/>
                <w:left w:val="none" w:sz="0" w:space="0" w:color="auto"/>
                <w:bottom w:val="none" w:sz="0" w:space="0" w:color="auto"/>
                <w:right w:val="none" w:sz="0" w:space="0" w:color="auto"/>
              </w:divBdr>
              <w:divsChild>
                <w:div w:id="12828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4572">
      <w:bodyDiv w:val="1"/>
      <w:marLeft w:val="0"/>
      <w:marRight w:val="0"/>
      <w:marTop w:val="0"/>
      <w:marBottom w:val="0"/>
      <w:divBdr>
        <w:top w:val="none" w:sz="0" w:space="0" w:color="auto"/>
        <w:left w:val="none" w:sz="0" w:space="0" w:color="auto"/>
        <w:bottom w:val="none" w:sz="0" w:space="0" w:color="auto"/>
        <w:right w:val="none" w:sz="0" w:space="0" w:color="auto"/>
      </w:divBdr>
      <w:divsChild>
        <w:div w:id="93676755">
          <w:marLeft w:val="0"/>
          <w:marRight w:val="0"/>
          <w:marTop w:val="0"/>
          <w:marBottom w:val="0"/>
          <w:divBdr>
            <w:top w:val="none" w:sz="0" w:space="0" w:color="auto"/>
            <w:left w:val="none" w:sz="0" w:space="0" w:color="auto"/>
            <w:bottom w:val="none" w:sz="0" w:space="0" w:color="auto"/>
            <w:right w:val="none" w:sz="0" w:space="0" w:color="auto"/>
          </w:divBdr>
          <w:divsChild>
            <w:div w:id="2135781921">
              <w:marLeft w:val="0"/>
              <w:marRight w:val="0"/>
              <w:marTop w:val="0"/>
              <w:marBottom w:val="0"/>
              <w:divBdr>
                <w:top w:val="none" w:sz="0" w:space="0" w:color="auto"/>
                <w:left w:val="none" w:sz="0" w:space="0" w:color="auto"/>
                <w:bottom w:val="none" w:sz="0" w:space="0" w:color="auto"/>
                <w:right w:val="none" w:sz="0" w:space="0" w:color="auto"/>
              </w:divBdr>
              <w:divsChild>
                <w:div w:id="11978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10763">
      <w:bodyDiv w:val="1"/>
      <w:marLeft w:val="0"/>
      <w:marRight w:val="0"/>
      <w:marTop w:val="0"/>
      <w:marBottom w:val="0"/>
      <w:divBdr>
        <w:top w:val="none" w:sz="0" w:space="0" w:color="auto"/>
        <w:left w:val="none" w:sz="0" w:space="0" w:color="auto"/>
        <w:bottom w:val="none" w:sz="0" w:space="0" w:color="auto"/>
        <w:right w:val="none" w:sz="0" w:space="0" w:color="auto"/>
      </w:divBdr>
      <w:divsChild>
        <w:div w:id="1825273771">
          <w:marLeft w:val="0"/>
          <w:marRight w:val="0"/>
          <w:marTop w:val="0"/>
          <w:marBottom w:val="0"/>
          <w:divBdr>
            <w:top w:val="none" w:sz="0" w:space="0" w:color="auto"/>
            <w:left w:val="none" w:sz="0" w:space="0" w:color="auto"/>
            <w:bottom w:val="none" w:sz="0" w:space="0" w:color="auto"/>
            <w:right w:val="none" w:sz="0" w:space="0" w:color="auto"/>
          </w:divBdr>
          <w:divsChild>
            <w:div w:id="507259376">
              <w:marLeft w:val="0"/>
              <w:marRight w:val="0"/>
              <w:marTop w:val="0"/>
              <w:marBottom w:val="0"/>
              <w:divBdr>
                <w:top w:val="none" w:sz="0" w:space="0" w:color="auto"/>
                <w:left w:val="none" w:sz="0" w:space="0" w:color="auto"/>
                <w:bottom w:val="none" w:sz="0" w:space="0" w:color="auto"/>
                <w:right w:val="none" w:sz="0" w:space="0" w:color="auto"/>
              </w:divBdr>
              <w:divsChild>
                <w:div w:id="12388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8533">
      <w:bodyDiv w:val="1"/>
      <w:marLeft w:val="0"/>
      <w:marRight w:val="0"/>
      <w:marTop w:val="0"/>
      <w:marBottom w:val="0"/>
      <w:divBdr>
        <w:top w:val="none" w:sz="0" w:space="0" w:color="auto"/>
        <w:left w:val="none" w:sz="0" w:space="0" w:color="auto"/>
        <w:bottom w:val="none" w:sz="0" w:space="0" w:color="auto"/>
        <w:right w:val="none" w:sz="0" w:space="0" w:color="auto"/>
      </w:divBdr>
      <w:divsChild>
        <w:div w:id="135338894">
          <w:marLeft w:val="0"/>
          <w:marRight w:val="0"/>
          <w:marTop w:val="0"/>
          <w:marBottom w:val="0"/>
          <w:divBdr>
            <w:top w:val="none" w:sz="0" w:space="0" w:color="auto"/>
            <w:left w:val="none" w:sz="0" w:space="0" w:color="auto"/>
            <w:bottom w:val="none" w:sz="0" w:space="0" w:color="auto"/>
            <w:right w:val="none" w:sz="0" w:space="0" w:color="auto"/>
          </w:divBdr>
          <w:divsChild>
            <w:div w:id="1805847039">
              <w:marLeft w:val="0"/>
              <w:marRight w:val="0"/>
              <w:marTop w:val="0"/>
              <w:marBottom w:val="0"/>
              <w:divBdr>
                <w:top w:val="none" w:sz="0" w:space="0" w:color="auto"/>
                <w:left w:val="none" w:sz="0" w:space="0" w:color="auto"/>
                <w:bottom w:val="none" w:sz="0" w:space="0" w:color="auto"/>
                <w:right w:val="none" w:sz="0" w:space="0" w:color="auto"/>
              </w:divBdr>
              <w:divsChild>
                <w:div w:id="1423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1451">
      <w:bodyDiv w:val="1"/>
      <w:marLeft w:val="0"/>
      <w:marRight w:val="0"/>
      <w:marTop w:val="0"/>
      <w:marBottom w:val="0"/>
      <w:divBdr>
        <w:top w:val="none" w:sz="0" w:space="0" w:color="auto"/>
        <w:left w:val="none" w:sz="0" w:space="0" w:color="auto"/>
        <w:bottom w:val="none" w:sz="0" w:space="0" w:color="auto"/>
        <w:right w:val="none" w:sz="0" w:space="0" w:color="auto"/>
      </w:divBdr>
      <w:divsChild>
        <w:div w:id="1196044562">
          <w:marLeft w:val="0"/>
          <w:marRight w:val="0"/>
          <w:marTop w:val="0"/>
          <w:marBottom w:val="0"/>
          <w:divBdr>
            <w:top w:val="none" w:sz="0" w:space="0" w:color="auto"/>
            <w:left w:val="none" w:sz="0" w:space="0" w:color="auto"/>
            <w:bottom w:val="none" w:sz="0" w:space="0" w:color="auto"/>
            <w:right w:val="none" w:sz="0" w:space="0" w:color="auto"/>
          </w:divBdr>
          <w:divsChild>
            <w:div w:id="1930656969">
              <w:marLeft w:val="0"/>
              <w:marRight w:val="0"/>
              <w:marTop w:val="0"/>
              <w:marBottom w:val="0"/>
              <w:divBdr>
                <w:top w:val="none" w:sz="0" w:space="0" w:color="auto"/>
                <w:left w:val="none" w:sz="0" w:space="0" w:color="auto"/>
                <w:bottom w:val="none" w:sz="0" w:space="0" w:color="auto"/>
                <w:right w:val="none" w:sz="0" w:space="0" w:color="auto"/>
              </w:divBdr>
              <w:divsChild>
                <w:div w:id="1601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4086">
      <w:bodyDiv w:val="1"/>
      <w:marLeft w:val="0"/>
      <w:marRight w:val="0"/>
      <w:marTop w:val="0"/>
      <w:marBottom w:val="0"/>
      <w:divBdr>
        <w:top w:val="none" w:sz="0" w:space="0" w:color="auto"/>
        <w:left w:val="none" w:sz="0" w:space="0" w:color="auto"/>
        <w:bottom w:val="none" w:sz="0" w:space="0" w:color="auto"/>
        <w:right w:val="none" w:sz="0" w:space="0" w:color="auto"/>
      </w:divBdr>
      <w:divsChild>
        <w:div w:id="1570844119">
          <w:marLeft w:val="0"/>
          <w:marRight w:val="0"/>
          <w:marTop w:val="0"/>
          <w:marBottom w:val="0"/>
          <w:divBdr>
            <w:top w:val="none" w:sz="0" w:space="0" w:color="auto"/>
            <w:left w:val="none" w:sz="0" w:space="0" w:color="auto"/>
            <w:bottom w:val="none" w:sz="0" w:space="0" w:color="auto"/>
            <w:right w:val="none" w:sz="0" w:space="0" w:color="auto"/>
          </w:divBdr>
          <w:divsChild>
            <w:div w:id="1480994635">
              <w:marLeft w:val="0"/>
              <w:marRight w:val="0"/>
              <w:marTop w:val="0"/>
              <w:marBottom w:val="0"/>
              <w:divBdr>
                <w:top w:val="none" w:sz="0" w:space="0" w:color="auto"/>
                <w:left w:val="none" w:sz="0" w:space="0" w:color="auto"/>
                <w:bottom w:val="none" w:sz="0" w:space="0" w:color="auto"/>
                <w:right w:val="none" w:sz="0" w:space="0" w:color="auto"/>
              </w:divBdr>
              <w:divsChild>
                <w:div w:id="12553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338">
      <w:bodyDiv w:val="1"/>
      <w:marLeft w:val="0"/>
      <w:marRight w:val="0"/>
      <w:marTop w:val="0"/>
      <w:marBottom w:val="0"/>
      <w:divBdr>
        <w:top w:val="none" w:sz="0" w:space="0" w:color="auto"/>
        <w:left w:val="none" w:sz="0" w:space="0" w:color="auto"/>
        <w:bottom w:val="none" w:sz="0" w:space="0" w:color="auto"/>
        <w:right w:val="none" w:sz="0" w:space="0" w:color="auto"/>
      </w:divBdr>
      <w:divsChild>
        <w:div w:id="433474760">
          <w:marLeft w:val="0"/>
          <w:marRight w:val="0"/>
          <w:marTop w:val="0"/>
          <w:marBottom w:val="0"/>
          <w:divBdr>
            <w:top w:val="none" w:sz="0" w:space="0" w:color="auto"/>
            <w:left w:val="none" w:sz="0" w:space="0" w:color="auto"/>
            <w:bottom w:val="none" w:sz="0" w:space="0" w:color="auto"/>
            <w:right w:val="none" w:sz="0" w:space="0" w:color="auto"/>
          </w:divBdr>
          <w:divsChild>
            <w:div w:id="1122962640">
              <w:marLeft w:val="0"/>
              <w:marRight w:val="0"/>
              <w:marTop w:val="0"/>
              <w:marBottom w:val="0"/>
              <w:divBdr>
                <w:top w:val="none" w:sz="0" w:space="0" w:color="auto"/>
                <w:left w:val="none" w:sz="0" w:space="0" w:color="auto"/>
                <w:bottom w:val="none" w:sz="0" w:space="0" w:color="auto"/>
                <w:right w:val="none" w:sz="0" w:space="0" w:color="auto"/>
              </w:divBdr>
              <w:divsChild>
                <w:div w:id="9660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477">
      <w:bodyDiv w:val="1"/>
      <w:marLeft w:val="0"/>
      <w:marRight w:val="0"/>
      <w:marTop w:val="0"/>
      <w:marBottom w:val="0"/>
      <w:divBdr>
        <w:top w:val="none" w:sz="0" w:space="0" w:color="auto"/>
        <w:left w:val="none" w:sz="0" w:space="0" w:color="auto"/>
        <w:bottom w:val="none" w:sz="0" w:space="0" w:color="auto"/>
        <w:right w:val="none" w:sz="0" w:space="0" w:color="auto"/>
      </w:divBdr>
      <w:divsChild>
        <w:div w:id="1197281063">
          <w:marLeft w:val="0"/>
          <w:marRight w:val="0"/>
          <w:marTop w:val="0"/>
          <w:marBottom w:val="0"/>
          <w:divBdr>
            <w:top w:val="none" w:sz="0" w:space="0" w:color="auto"/>
            <w:left w:val="none" w:sz="0" w:space="0" w:color="auto"/>
            <w:bottom w:val="none" w:sz="0" w:space="0" w:color="auto"/>
            <w:right w:val="none" w:sz="0" w:space="0" w:color="auto"/>
          </w:divBdr>
        </w:div>
        <w:div w:id="1236741568">
          <w:marLeft w:val="0"/>
          <w:marRight w:val="0"/>
          <w:marTop w:val="0"/>
          <w:marBottom w:val="0"/>
          <w:divBdr>
            <w:top w:val="none" w:sz="0" w:space="0" w:color="auto"/>
            <w:left w:val="none" w:sz="0" w:space="0" w:color="auto"/>
            <w:bottom w:val="none" w:sz="0" w:space="0" w:color="auto"/>
            <w:right w:val="none" w:sz="0" w:space="0" w:color="auto"/>
          </w:divBdr>
        </w:div>
      </w:divsChild>
    </w:div>
    <w:div w:id="1034117988">
      <w:bodyDiv w:val="1"/>
      <w:marLeft w:val="0"/>
      <w:marRight w:val="0"/>
      <w:marTop w:val="0"/>
      <w:marBottom w:val="0"/>
      <w:divBdr>
        <w:top w:val="none" w:sz="0" w:space="0" w:color="auto"/>
        <w:left w:val="none" w:sz="0" w:space="0" w:color="auto"/>
        <w:bottom w:val="none" w:sz="0" w:space="0" w:color="auto"/>
        <w:right w:val="none" w:sz="0" w:space="0" w:color="auto"/>
      </w:divBdr>
      <w:divsChild>
        <w:div w:id="123357177">
          <w:marLeft w:val="0"/>
          <w:marRight w:val="0"/>
          <w:marTop w:val="0"/>
          <w:marBottom w:val="0"/>
          <w:divBdr>
            <w:top w:val="none" w:sz="0" w:space="0" w:color="auto"/>
            <w:left w:val="none" w:sz="0" w:space="0" w:color="auto"/>
            <w:bottom w:val="none" w:sz="0" w:space="0" w:color="auto"/>
            <w:right w:val="none" w:sz="0" w:space="0" w:color="auto"/>
          </w:divBdr>
          <w:divsChild>
            <w:div w:id="1402824131">
              <w:marLeft w:val="0"/>
              <w:marRight w:val="0"/>
              <w:marTop w:val="0"/>
              <w:marBottom w:val="0"/>
              <w:divBdr>
                <w:top w:val="none" w:sz="0" w:space="0" w:color="auto"/>
                <w:left w:val="none" w:sz="0" w:space="0" w:color="auto"/>
                <w:bottom w:val="none" w:sz="0" w:space="0" w:color="auto"/>
                <w:right w:val="none" w:sz="0" w:space="0" w:color="auto"/>
              </w:divBdr>
              <w:divsChild>
                <w:div w:id="7447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5750">
      <w:bodyDiv w:val="1"/>
      <w:marLeft w:val="0"/>
      <w:marRight w:val="0"/>
      <w:marTop w:val="0"/>
      <w:marBottom w:val="0"/>
      <w:divBdr>
        <w:top w:val="none" w:sz="0" w:space="0" w:color="auto"/>
        <w:left w:val="none" w:sz="0" w:space="0" w:color="auto"/>
        <w:bottom w:val="none" w:sz="0" w:space="0" w:color="auto"/>
        <w:right w:val="none" w:sz="0" w:space="0" w:color="auto"/>
      </w:divBdr>
      <w:divsChild>
        <w:div w:id="1851870875">
          <w:marLeft w:val="0"/>
          <w:marRight w:val="0"/>
          <w:marTop w:val="0"/>
          <w:marBottom w:val="0"/>
          <w:divBdr>
            <w:top w:val="none" w:sz="0" w:space="0" w:color="auto"/>
            <w:left w:val="none" w:sz="0" w:space="0" w:color="auto"/>
            <w:bottom w:val="none" w:sz="0" w:space="0" w:color="auto"/>
            <w:right w:val="none" w:sz="0" w:space="0" w:color="auto"/>
          </w:divBdr>
          <w:divsChild>
            <w:div w:id="1906067183">
              <w:marLeft w:val="0"/>
              <w:marRight w:val="0"/>
              <w:marTop w:val="0"/>
              <w:marBottom w:val="0"/>
              <w:divBdr>
                <w:top w:val="none" w:sz="0" w:space="0" w:color="auto"/>
                <w:left w:val="none" w:sz="0" w:space="0" w:color="auto"/>
                <w:bottom w:val="none" w:sz="0" w:space="0" w:color="auto"/>
                <w:right w:val="none" w:sz="0" w:space="0" w:color="auto"/>
              </w:divBdr>
              <w:divsChild>
                <w:div w:id="242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56122">
      <w:bodyDiv w:val="1"/>
      <w:marLeft w:val="0"/>
      <w:marRight w:val="0"/>
      <w:marTop w:val="0"/>
      <w:marBottom w:val="0"/>
      <w:divBdr>
        <w:top w:val="none" w:sz="0" w:space="0" w:color="auto"/>
        <w:left w:val="none" w:sz="0" w:space="0" w:color="auto"/>
        <w:bottom w:val="none" w:sz="0" w:space="0" w:color="auto"/>
        <w:right w:val="none" w:sz="0" w:space="0" w:color="auto"/>
      </w:divBdr>
      <w:divsChild>
        <w:div w:id="209272598">
          <w:marLeft w:val="0"/>
          <w:marRight w:val="0"/>
          <w:marTop w:val="0"/>
          <w:marBottom w:val="0"/>
          <w:divBdr>
            <w:top w:val="none" w:sz="0" w:space="0" w:color="auto"/>
            <w:left w:val="none" w:sz="0" w:space="0" w:color="auto"/>
            <w:bottom w:val="none" w:sz="0" w:space="0" w:color="auto"/>
            <w:right w:val="none" w:sz="0" w:space="0" w:color="auto"/>
          </w:divBdr>
          <w:divsChild>
            <w:div w:id="943458058">
              <w:marLeft w:val="0"/>
              <w:marRight w:val="0"/>
              <w:marTop w:val="0"/>
              <w:marBottom w:val="0"/>
              <w:divBdr>
                <w:top w:val="none" w:sz="0" w:space="0" w:color="auto"/>
                <w:left w:val="none" w:sz="0" w:space="0" w:color="auto"/>
                <w:bottom w:val="none" w:sz="0" w:space="0" w:color="auto"/>
                <w:right w:val="none" w:sz="0" w:space="0" w:color="auto"/>
              </w:divBdr>
              <w:divsChild>
                <w:div w:id="9001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417">
      <w:bodyDiv w:val="1"/>
      <w:marLeft w:val="0"/>
      <w:marRight w:val="0"/>
      <w:marTop w:val="0"/>
      <w:marBottom w:val="0"/>
      <w:divBdr>
        <w:top w:val="none" w:sz="0" w:space="0" w:color="auto"/>
        <w:left w:val="none" w:sz="0" w:space="0" w:color="auto"/>
        <w:bottom w:val="none" w:sz="0" w:space="0" w:color="auto"/>
        <w:right w:val="none" w:sz="0" w:space="0" w:color="auto"/>
      </w:divBdr>
      <w:divsChild>
        <w:div w:id="1356150802">
          <w:marLeft w:val="0"/>
          <w:marRight w:val="0"/>
          <w:marTop w:val="0"/>
          <w:marBottom w:val="0"/>
          <w:divBdr>
            <w:top w:val="none" w:sz="0" w:space="0" w:color="auto"/>
            <w:left w:val="none" w:sz="0" w:space="0" w:color="auto"/>
            <w:bottom w:val="none" w:sz="0" w:space="0" w:color="auto"/>
            <w:right w:val="none" w:sz="0" w:space="0" w:color="auto"/>
          </w:divBdr>
        </w:div>
        <w:div w:id="706224153">
          <w:marLeft w:val="0"/>
          <w:marRight w:val="0"/>
          <w:marTop w:val="0"/>
          <w:marBottom w:val="0"/>
          <w:divBdr>
            <w:top w:val="none" w:sz="0" w:space="0" w:color="auto"/>
            <w:left w:val="none" w:sz="0" w:space="0" w:color="auto"/>
            <w:bottom w:val="none" w:sz="0" w:space="0" w:color="auto"/>
            <w:right w:val="none" w:sz="0" w:space="0" w:color="auto"/>
          </w:divBdr>
        </w:div>
      </w:divsChild>
    </w:div>
    <w:div w:id="1592395479">
      <w:bodyDiv w:val="1"/>
      <w:marLeft w:val="0"/>
      <w:marRight w:val="0"/>
      <w:marTop w:val="0"/>
      <w:marBottom w:val="0"/>
      <w:divBdr>
        <w:top w:val="none" w:sz="0" w:space="0" w:color="auto"/>
        <w:left w:val="none" w:sz="0" w:space="0" w:color="auto"/>
        <w:bottom w:val="none" w:sz="0" w:space="0" w:color="auto"/>
        <w:right w:val="none" w:sz="0" w:space="0" w:color="auto"/>
      </w:divBdr>
      <w:divsChild>
        <w:div w:id="1396283">
          <w:marLeft w:val="0"/>
          <w:marRight w:val="0"/>
          <w:marTop w:val="0"/>
          <w:marBottom w:val="0"/>
          <w:divBdr>
            <w:top w:val="none" w:sz="0" w:space="0" w:color="auto"/>
            <w:left w:val="none" w:sz="0" w:space="0" w:color="auto"/>
            <w:bottom w:val="none" w:sz="0" w:space="0" w:color="auto"/>
            <w:right w:val="none" w:sz="0" w:space="0" w:color="auto"/>
          </w:divBdr>
          <w:divsChild>
            <w:div w:id="1909227482">
              <w:marLeft w:val="0"/>
              <w:marRight w:val="0"/>
              <w:marTop w:val="0"/>
              <w:marBottom w:val="0"/>
              <w:divBdr>
                <w:top w:val="none" w:sz="0" w:space="0" w:color="auto"/>
                <w:left w:val="none" w:sz="0" w:space="0" w:color="auto"/>
                <w:bottom w:val="none" w:sz="0" w:space="0" w:color="auto"/>
                <w:right w:val="none" w:sz="0" w:space="0" w:color="auto"/>
              </w:divBdr>
              <w:divsChild>
                <w:div w:id="676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5990">
      <w:bodyDiv w:val="1"/>
      <w:marLeft w:val="0"/>
      <w:marRight w:val="0"/>
      <w:marTop w:val="0"/>
      <w:marBottom w:val="0"/>
      <w:divBdr>
        <w:top w:val="none" w:sz="0" w:space="0" w:color="auto"/>
        <w:left w:val="none" w:sz="0" w:space="0" w:color="auto"/>
        <w:bottom w:val="none" w:sz="0" w:space="0" w:color="auto"/>
        <w:right w:val="none" w:sz="0" w:space="0" w:color="auto"/>
      </w:divBdr>
      <w:divsChild>
        <w:div w:id="1350329187">
          <w:marLeft w:val="0"/>
          <w:marRight w:val="0"/>
          <w:marTop w:val="0"/>
          <w:marBottom w:val="0"/>
          <w:divBdr>
            <w:top w:val="none" w:sz="0" w:space="0" w:color="auto"/>
            <w:left w:val="none" w:sz="0" w:space="0" w:color="auto"/>
            <w:bottom w:val="none" w:sz="0" w:space="0" w:color="auto"/>
            <w:right w:val="none" w:sz="0" w:space="0" w:color="auto"/>
          </w:divBdr>
          <w:divsChild>
            <w:div w:id="442194135">
              <w:marLeft w:val="0"/>
              <w:marRight w:val="0"/>
              <w:marTop w:val="0"/>
              <w:marBottom w:val="0"/>
              <w:divBdr>
                <w:top w:val="none" w:sz="0" w:space="0" w:color="auto"/>
                <w:left w:val="none" w:sz="0" w:space="0" w:color="auto"/>
                <w:bottom w:val="none" w:sz="0" w:space="0" w:color="auto"/>
                <w:right w:val="none" w:sz="0" w:space="0" w:color="auto"/>
              </w:divBdr>
              <w:divsChild>
                <w:div w:id="422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061">
      <w:bodyDiv w:val="1"/>
      <w:marLeft w:val="0"/>
      <w:marRight w:val="0"/>
      <w:marTop w:val="0"/>
      <w:marBottom w:val="0"/>
      <w:divBdr>
        <w:top w:val="none" w:sz="0" w:space="0" w:color="auto"/>
        <w:left w:val="none" w:sz="0" w:space="0" w:color="auto"/>
        <w:bottom w:val="none" w:sz="0" w:space="0" w:color="auto"/>
        <w:right w:val="none" w:sz="0" w:space="0" w:color="auto"/>
      </w:divBdr>
      <w:divsChild>
        <w:div w:id="977494119">
          <w:marLeft w:val="0"/>
          <w:marRight w:val="0"/>
          <w:marTop w:val="0"/>
          <w:marBottom w:val="0"/>
          <w:divBdr>
            <w:top w:val="none" w:sz="0" w:space="0" w:color="auto"/>
            <w:left w:val="none" w:sz="0" w:space="0" w:color="auto"/>
            <w:bottom w:val="none" w:sz="0" w:space="0" w:color="auto"/>
            <w:right w:val="none" w:sz="0" w:space="0" w:color="auto"/>
          </w:divBdr>
          <w:divsChild>
            <w:div w:id="505022983">
              <w:marLeft w:val="0"/>
              <w:marRight w:val="0"/>
              <w:marTop w:val="0"/>
              <w:marBottom w:val="0"/>
              <w:divBdr>
                <w:top w:val="none" w:sz="0" w:space="0" w:color="auto"/>
                <w:left w:val="none" w:sz="0" w:space="0" w:color="auto"/>
                <w:bottom w:val="none" w:sz="0" w:space="0" w:color="auto"/>
                <w:right w:val="none" w:sz="0" w:space="0" w:color="auto"/>
              </w:divBdr>
              <w:divsChild>
                <w:div w:id="4936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59515">
      <w:bodyDiv w:val="1"/>
      <w:marLeft w:val="0"/>
      <w:marRight w:val="0"/>
      <w:marTop w:val="0"/>
      <w:marBottom w:val="0"/>
      <w:divBdr>
        <w:top w:val="none" w:sz="0" w:space="0" w:color="auto"/>
        <w:left w:val="none" w:sz="0" w:space="0" w:color="auto"/>
        <w:bottom w:val="none" w:sz="0" w:space="0" w:color="auto"/>
        <w:right w:val="none" w:sz="0" w:space="0" w:color="auto"/>
      </w:divBdr>
      <w:divsChild>
        <w:div w:id="468282063">
          <w:marLeft w:val="0"/>
          <w:marRight w:val="0"/>
          <w:marTop w:val="0"/>
          <w:marBottom w:val="0"/>
          <w:divBdr>
            <w:top w:val="none" w:sz="0" w:space="0" w:color="auto"/>
            <w:left w:val="none" w:sz="0" w:space="0" w:color="auto"/>
            <w:bottom w:val="none" w:sz="0" w:space="0" w:color="auto"/>
            <w:right w:val="none" w:sz="0" w:space="0" w:color="auto"/>
          </w:divBdr>
        </w:div>
        <w:div w:id="970207138">
          <w:marLeft w:val="0"/>
          <w:marRight w:val="0"/>
          <w:marTop w:val="0"/>
          <w:marBottom w:val="0"/>
          <w:divBdr>
            <w:top w:val="none" w:sz="0" w:space="0" w:color="auto"/>
            <w:left w:val="none" w:sz="0" w:space="0" w:color="auto"/>
            <w:bottom w:val="none" w:sz="0" w:space="0" w:color="auto"/>
            <w:right w:val="none" w:sz="0" w:space="0" w:color="auto"/>
          </w:divBdr>
        </w:div>
      </w:divsChild>
    </w:div>
    <w:div w:id="2027369208">
      <w:bodyDiv w:val="1"/>
      <w:marLeft w:val="0"/>
      <w:marRight w:val="0"/>
      <w:marTop w:val="0"/>
      <w:marBottom w:val="0"/>
      <w:divBdr>
        <w:top w:val="none" w:sz="0" w:space="0" w:color="auto"/>
        <w:left w:val="none" w:sz="0" w:space="0" w:color="auto"/>
        <w:bottom w:val="none" w:sz="0" w:space="0" w:color="auto"/>
        <w:right w:val="none" w:sz="0" w:space="0" w:color="auto"/>
      </w:divBdr>
      <w:divsChild>
        <w:div w:id="809401077">
          <w:marLeft w:val="0"/>
          <w:marRight w:val="0"/>
          <w:marTop w:val="0"/>
          <w:marBottom w:val="0"/>
          <w:divBdr>
            <w:top w:val="none" w:sz="0" w:space="0" w:color="auto"/>
            <w:left w:val="none" w:sz="0" w:space="0" w:color="auto"/>
            <w:bottom w:val="none" w:sz="0" w:space="0" w:color="auto"/>
            <w:right w:val="none" w:sz="0" w:space="0" w:color="auto"/>
          </w:divBdr>
        </w:div>
        <w:div w:id="858471241">
          <w:marLeft w:val="0"/>
          <w:marRight w:val="0"/>
          <w:marTop w:val="0"/>
          <w:marBottom w:val="0"/>
          <w:divBdr>
            <w:top w:val="none" w:sz="0" w:space="0" w:color="auto"/>
            <w:left w:val="none" w:sz="0" w:space="0" w:color="auto"/>
            <w:bottom w:val="none" w:sz="0" w:space="0" w:color="auto"/>
            <w:right w:val="none" w:sz="0" w:space="0" w:color="auto"/>
          </w:divBdr>
        </w:div>
      </w:divsChild>
    </w:div>
    <w:div w:id="2079590929">
      <w:bodyDiv w:val="1"/>
      <w:marLeft w:val="0"/>
      <w:marRight w:val="0"/>
      <w:marTop w:val="0"/>
      <w:marBottom w:val="0"/>
      <w:divBdr>
        <w:top w:val="none" w:sz="0" w:space="0" w:color="auto"/>
        <w:left w:val="none" w:sz="0" w:space="0" w:color="auto"/>
        <w:bottom w:val="none" w:sz="0" w:space="0" w:color="auto"/>
        <w:right w:val="none" w:sz="0" w:space="0" w:color="auto"/>
      </w:divBdr>
      <w:divsChild>
        <w:div w:id="193737188">
          <w:marLeft w:val="0"/>
          <w:marRight w:val="0"/>
          <w:marTop w:val="0"/>
          <w:marBottom w:val="0"/>
          <w:divBdr>
            <w:top w:val="none" w:sz="0" w:space="0" w:color="auto"/>
            <w:left w:val="none" w:sz="0" w:space="0" w:color="auto"/>
            <w:bottom w:val="none" w:sz="0" w:space="0" w:color="auto"/>
            <w:right w:val="none" w:sz="0" w:space="0" w:color="auto"/>
          </w:divBdr>
          <w:divsChild>
            <w:div w:id="1123380152">
              <w:marLeft w:val="0"/>
              <w:marRight w:val="0"/>
              <w:marTop w:val="0"/>
              <w:marBottom w:val="0"/>
              <w:divBdr>
                <w:top w:val="none" w:sz="0" w:space="0" w:color="auto"/>
                <w:left w:val="none" w:sz="0" w:space="0" w:color="auto"/>
                <w:bottom w:val="none" w:sz="0" w:space="0" w:color="auto"/>
                <w:right w:val="none" w:sz="0" w:space="0" w:color="auto"/>
              </w:divBdr>
              <w:divsChild>
                <w:div w:id="326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4026">
      <w:bodyDiv w:val="1"/>
      <w:marLeft w:val="0"/>
      <w:marRight w:val="0"/>
      <w:marTop w:val="0"/>
      <w:marBottom w:val="0"/>
      <w:divBdr>
        <w:top w:val="none" w:sz="0" w:space="0" w:color="auto"/>
        <w:left w:val="none" w:sz="0" w:space="0" w:color="auto"/>
        <w:bottom w:val="none" w:sz="0" w:space="0" w:color="auto"/>
        <w:right w:val="none" w:sz="0" w:space="0" w:color="auto"/>
      </w:divBdr>
      <w:divsChild>
        <w:div w:id="366879046">
          <w:marLeft w:val="0"/>
          <w:marRight w:val="0"/>
          <w:marTop w:val="0"/>
          <w:marBottom w:val="0"/>
          <w:divBdr>
            <w:top w:val="none" w:sz="0" w:space="0" w:color="auto"/>
            <w:left w:val="none" w:sz="0" w:space="0" w:color="auto"/>
            <w:bottom w:val="none" w:sz="0" w:space="0" w:color="auto"/>
            <w:right w:val="none" w:sz="0" w:space="0" w:color="auto"/>
          </w:divBdr>
          <w:divsChild>
            <w:div w:id="885873287">
              <w:marLeft w:val="0"/>
              <w:marRight w:val="0"/>
              <w:marTop w:val="0"/>
              <w:marBottom w:val="0"/>
              <w:divBdr>
                <w:top w:val="none" w:sz="0" w:space="0" w:color="auto"/>
                <w:left w:val="none" w:sz="0" w:space="0" w:color="auto"/>
                <w:bottom w:val="none" w:sz="0" w:space="0" w:color="auto"/>
                <w:right w:val="none" w:sz="0" w:space="0" w:color="auto"/>
              </w:divBdr>
              <w:divsChild>
                <w:div w:id="1306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picentral.com/pi.html?product=tagris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picentral.com/pi.html?product=tagriss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7886F4E4DBF4488077DBBA9E9C73C" ma:contentTypeVersion="6" ma:contentTypeDescription="Create a new document." ma:contentTypeScope="" ma:versionID="9586d806932f2e4c667720ea5f23e7e6">
  <xsd:schema xmlns:xsd="http://www.w3.org/2001/XMLSchema" xmlns:xs="http://www.w3.org/2001/XMLSchema" xmlns:p="http://schemas.microsoft.com/office/2006/metadata/properties" xmlns:ns2="44a56295-c29e-4898-8136-a54736c65b82" xmlns:ns3="36d7dc44-fa9a-45c5-a358-02787166abb3" targetNamespace="http://schemas.microsoft.com/office/2006/metadata/properties" ma:root="true" ma:fieldsID="40c46f9834afcce876ef82b7d6cf5e13" ns2:_="" ns3:_="">
    <xsd:import namespace="44a56295-c29e-4898-8136-a54736c65b82"/>
    <xsd:import namespace="36d7dc44-fa9a-45c5-a358-02787166abb3"/>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7dc44-fa9a-45c5-a358-02787166ab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3.xml><?xml version="1.0" encoding="utf-8"?>
<?mso-contentType ?>
<SharedContentType xmlns="Microsoft.SharePoint.Taxonomy.ContentTypeSync" SourceId="1ee89e71-04cd-405e-9ca3-99e020c1694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B7A29-B3D5-47A5-95EA-6892E0257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36d7dc44-fa9a-45c5-a358-02787166a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02B23-ADF0-4D6E-9C0E-876E57E4E725}">
  <ds:schemaRefs>
    <ds:schemaRef ds:uri="http://schemas.microsoft.com/office/2006/metadata/properties"/>
    <ds:schemaRef ds:uri="http://schemas.microsoft.com/office/infopath/2007/PartnerControls"/>
    <ds:schemaRef ds:uri="44a56295-c29e-4898-8136-a54736c65b82"/>
  </ds:schemaRefs>
</ds:datastoreItem>
</file>

<file path=customXml/itemProps3.xml><?xml version="1.0" encoding="utf-8"?>
<ds:datastoreItem xmlns:ds="http://schemas.openxmlformats.org/officeDocument/2006/customXml" ds:itemID="{D2419BD6-8258-40AD-9B63-15ABD17B332E}">
  <ds:schemaRefs>
    <ds:schemaRef ds:uri="Microsoft.SharePoint.Taxonomy.ContentTypeSync"/>
  </ds:schemaRefs>
</ds:datastoreItem>
</file>

<file path=customXml/itemProps4.xml><?xml version="1.0" encoding="utf-8"?>
<ds:datastoreItem xmlns:ds="http://schemas.openxmlformats.org/officeDocument/2006/customXml" ds:itemID="{309F332A-681D-4CD8-9574-050F75E23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13123</Characters>
  <Application>Microsoft Office Word</Application>
  <DocSecurity>0</DocSecurity>
  <Lines>109</Lines>
  <Paragraphs>30</Paragraphs>
  <ScaleCrop>false</ScaleCrop>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Calabro</dc:creator>
  <cp:keywords/>
  <cp:lastModifiedBy>Dunn, Ginna</cp:lastModifiedBy>
  <cp:revision>2</cp:revision>
  <dcterms:created xsi:type="dcterms:W3CDTF">2024-02-19T20:41:00Z</dcterms:created>
  <dcterms:modified xsi:type="dcterms:W3CDTF">2024-02-19T20:41:00Z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Office 365</vt:lpwstr>
  </property>
  <property fmtid="{D5CDD505-2E9C-101B-9397-08002B2CF9AE}" pid="4" name="LastSaved">
    <vt:filetime>2020-08-12T00:00:00Z</vt:filetime>
  </property>
  <property fmtid="{D5CDD505-2E9C-101B-9397-08002B2CF9AE}" pid="5" name="ContentTypeId">
    <vt:lpwstr>0x0101004027886F4E4DBF4488077DBBA9E9C73C</vt:lpwstr>
  </property>
</Properties>
</file>